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3D18D" w14:textId="77777777" w:rsidR="00AE2EE1" w:rsidRPr="00421450" w:rsidRDefault="00680C69" w:rsidP="00031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>С</w:t>
      </w:r>
      <w:r w:rsidR="00C64A5A"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>Р</w:t>
      </w:r>
      <w:r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>АВНИТЕЛЬНАЯ ТАБЛИЦА</w:t>
      </w:r>
    </w:p>
    <w:p w14:paraId="1D9AB8A2" w14:textId="77777777" w:rsidR="006A3664" w:rsidRPr="00421450" w:rsidRDefault="006A3664" w:rsidP="00031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к проекту постановления Правительства Республики Казахстан </w:t>
      </w:r>
    </w:p>
    <w:p w14:paraId="53A9F159" w14:textId="1C7D1DDE" w:rsidR="006A3664" w:rsidRPr="00421450" w:rsidRDefault="006A3664" w:rsidP="00031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>«О внесении изменений</w:t>
      </w:r>
      <w:r w:rsidR="007846BD"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421450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некоторые решения Правительства Республики Казахстан»</w:t>
      </w:r>
    </w:p>
    <w:p w14:paraId="399CBCA6" w14:textId="77777777" w:rsidR="00AE2EE1" w:rsidRPr="00421450" w:rsidRDefault="00AE2EE1" w:rsidP="000315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a3"/>
        <w:tblW w:w="15134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40"/>
        <w:gridCol w:w="2250"/>
        <w:gridCol w:w="4500"/>
        <w:gridCol w:w="4500"/>
        <w:gridCol w:w="3337"/>
        <w:gridCol w:w="7"/>
      </w:tblGrid>
      <w:tr w:rsidR="003A450F" w:rsidRPr="00421450" w14:paraId="06BE8B8F" w14:textId="77777777" w:rsidTr="00BE24A8">
        <w:trPr>
          <w:gridAfter w:val="1"/>
          <w:wAfter w:w="7" w:type="dxa"/>
          <w:trHeight w:val="507"/>
        </w:trPr>
        <w:tc>
          <w:tcPr>
            <w:tcW w:w="540" w:type="dxa"/>
          </w:tcPr>
          <w:p w14:paraId="4CFDF390" w14:textId="77777777" w:rsidR="003A450F" w:rsidRPr="00421450" w:rsidRDefault="003A450F" w:rsidP="0003159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14:paraId="4575AB30" w14:textId="77777777" w:rsidR="003A450F" w:rsidRPr="00421450" w:rsidRDefault="003A450F" w:rsidP="0003159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250" w:type="dxa"/>
          </w:tcPr>
          <w:p w14:paraId="4E351C0A" w14:textId="77777777" w:rsidR="003A450F" w:rsidRPr="00421450" w:rsidRDefault="003A450F" w:rsidP="00031595">
            <w:pPr>
              <w:shd w:val="clear" w:color="auto" w:fill="FFFFFF" w:themeFill="background1"/>
              <w:ind w:firstLine="4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Структурный элемент</w:t>
            </w:r>
          </w:p>
        </w:tc>
        <w:tc>
          <w:tcPr>
            <w:tcW w:w="4500" w:type="dxa"/>
          </w:tcPr>
          <w:p w14:paraId="66819009" w14:textId="77777777" w:rsidR="003A450F" w:rsidRPr="00421450" w:rsidRDefault="003A450F" w:rsidP="00031595">
            <w:pPr>
              <w:shd w:val="clear" w:color="auto" w:fill="FFFFFF" w:themeFill="background1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4500" w:type="dxa"/>
          </w:tcPr>
          <w:p w14:paraId="137F9266" w14:textId="77777777" w:rsidR="003A450F" w:rsidRPr="00421450" w:rsidRDefault="003A450F" w:rsidP="00031595">
            <w:pPr>
              <w:shd w:val="clear" w:color="auto" w:fill="FFFFFF" w:themeFill="background1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Предлагаемая редакция</w:t>
            </w:r>
          </w:p>
        </w:tc>
        <w:tc>
          <w:tcPr>
            <w:tcW w:w="3337" w:type="dxa"/>
          </w:tcPr>
          <w:p w14:paraId="20200077" w14:textId="77777777" w:rsidR="003A450F" w:rsidRPr="00421450" w:rsidRDefault="003A450F" w:rsidP="00031595">
            <w:pPr>
              <w:shd w:val="clear" w:color="auto" w:fill="FFFFFF" w:themeFill="background1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Обоснование</w:t>
            </w:r>
          </w:p>
        </w:tc>
      </w:tr>
      <w:tr w:rsidR="00AE2EE1" w:rsidRPr="000841A8" w14:paraId="32DA3BD5" w14:textId="77777777" w:rsidTr="00485ADE">
        <w:trPr>
          <w:trHeight w:val="723"/>
        </w:trPr>
        <w:tc>
          <w:tcPr>
            <w:tcW w:w="15134" w:type="dxa"/>
            <w:gridSpan w:val="6"/>
          </w:tcPr>
          <w:p w14:paraId="56FC9483" w14:textId="3AC47853" w:rsidR="00AE2EE1" w:rsidRPr="00421450" w:rsidRDefault="0014179B" w:rsidP="0014179B">
            <w:pPr>
              <w:shd w:val="clear" w:color="auto" w:fill="FFFFFF" w:themeFill="background1"/>
              <w:tabs>
                <w:tab w:val="left" w:pos="912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r w:rsidR="00AE2EE1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остановление Правительства Республики Казахстан от 14 апреля 2014 года № 354 </w:t>
            </w:r>
            <w:r w:rsidR="00EE3081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="00AE2EE1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r w:rsidR="00603037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в обрабатывающей промышленности</w:t>
            </w:r>
            <w:r w:rsidR="00AE2EE1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6A3664" w:rsidRPr="000841A8" w14:paraId="2FE2B57E" w14:textId="77777777" w:rsidTr="009D272A">
        <w:trPr>
          <w:trHeight w:val="522"/>
        </w:trPr>
        <w:tc>
          <w:tcPr>
            <w:tcW w:w="15134" w:type="dxa"/>
            <w:gridSpan w:val="6"/>
          </w:tcPr>
          <w:p w14:paraId="793636D6" w14:textId="09EAFAD5" w:rsidR="006A3664" w:rsidRPr="00421450" w:rsidRDefault="00EE3081" w:rsidP="00031595">
            <w:pPr>
              <w:pStyle w:val="ad"/>
              <w:shd w:val="clear" w:color="auto" w:fill="FFFFFF" w:themeFill="background1"/>
              <w:tabs>
                <w:tab w:val="left" w:pos="9120"/>
              </w:tabs>
              <w:ind w:left="396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План </w:t>
            </w:r>
            <w:r w:rsidR="00603037"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в обрабатывающей промышленности</w:t>
            </w:r>
          </w:p>
        </w:tc>
      </w:tr>
      <w:tr w:rsidR="00B4237F" w:rsidRPr="000841A8" w14:paraId="2530D61F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27595F18" w14:textId="1DE6969B" w:rsidR="00B4237F" w:rsidRPr="00421450" w:rsidRDefault="00621CA3" w:rsidP="001F698C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1.</w:t>
            </w:r>
          </w:p>
        </w:tc>
        <w:tc>
          <w:tcPr>
            <w:tcW w:w="2250" w:type="dxa"/>
          </w:tcPr>
          <w:p w14:paraId="58972A72" w14:textId="77777777" w:rsidR="00C25EFC" w:rsidRPr="00C25EFC" w:rsidRDefault="00C25EFC" w:rsidP="00C25EFC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раздел 3 «Условия и механизмы обусловленного размещения средств </w:t>
            </w:r>
          </w:p>
          <w:p w14:paraId="1DDB5439" w14:textId="3A442D48" w:rsidR="00603037" w:rsidRPr="00421450" w:rsidRDefault="00C25EFC" w:rsidP="00C25EFC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 банках второго уровня»</w:t>
            </w:r>
          </w:p>
        </w:tc>
        <w:tc>
          <w:tcPr>
            <w:tcW w:w="4500" w:type="dxa"/>
          </w:tcPr>
          <w:p w14:paraId="1DC3223A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3. Условия и механизмы обусловленного размещения средств в банках второго уровня</w:t>
            </w:r>
          </w:p>
          <w:p w14:paraId="03F26174" w14:textId="28272219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НУХ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выносит перечень БВУ и суммы лимитов по ним на рассмотрение Государственной комиссией по вопросам модернизации экономики Республики Казахстан (далее – Госкомиссия). Госкомиссия определяет подходы к формированию годовой эффективной ставки вознаграждения для конечных заемщиков.</w:t>
            </w:r>
          </w:p>
          <w:p w14:paraId="5A85ECE7" w14:textId="702431D4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НУХ </w:t>
            </w:r>
            <w:r w:rsidR="0032766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,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и БВУ откроют отдельный банковский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 НБРК для проведения платежей со средств, выделяемых из Национального Фонда Республики Казахстан.</w:t>
            </w:r>
          </w:p>
          <w:p w14:paraId="3DAAF115" w14:textId="32178203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НУХ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разместит на отдельном банковском счете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НБРК сумму средств по заключенному кредитному договору в соответствии с гражданским законодательством Республики Казахстан.</w:t>
            </w:r>
          </w:p>
          <w:p w14:paraId="43CDF73B" w14:textId="77777777" w:rsid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осуществит заключение кредитных соглашений с БВУ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соответствии с гражданским законодательством Республики Казахстан.</w:t>
            </w:r>
          </w:p>
          <w:p w14:paraId="3BD7F044" w14:textId="5839EEBA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разместит полученные кредитные средства в БВУ со ставкой не более 2,0 % годовых.</w:t>
            </w:r>
          </w:p>
          <w:p w14:paraId="57031D28" w14:textId="2481989B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будет осуществлять размещение кредитных средств на отдельном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банковском счете БВУ в НБРК без обеспечения, в пределах лимитов, одобренных Госкомиссией.</w:t>
            </w:r>
          </w:p>
          <w:p w14:paraId="2D8265B8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Валюта кредитования БВУ – тенге.</w:t>
            </w:r>
          </w:p>
          <w:p w14:paraId="7E8503AE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Срок кредитования БВУ – до 20 лет.</w:t>
            </w:r>
          </w:p>
          <w:p w14:paraId="0A62864B" w14:textId="45FF2E2E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Для БВУ разница между ставкой привлечения средств от АО «ФРП «Даму» и </w:t>
            </w: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ставкой кредитования субъектов МСП не должна превышать 4,0 % годовых.</w:t>
            </w:r>
          </w:p>
          <w:p w14:paraId="00C6B188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Срок освоения БВУ кредитных средств с даты поступления средств на счет БВУ:</w:t>
            </w:r>
          </w:p>
          <w:p w14:paraId="6195706B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12 месяцев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– по кредитам, выдаваемым на инвестиционные цели;</w:t>
            </w:r>
          </w:p>
          <w:p w14:paraId="405C8B92" w14:textId="0BC2D11E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месяцев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– по кредитам, выдаваемым на цели пополнения оборотных средств и рефинансирования ранее выданных займов БВУ.</w:t>
            </w:r>
          </w:p>
          <w:p w14:paraId="30E3A510" w14:textId="68297020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Условия и порядок погашения основного долга и вознаграждения устанавливаются в кредитном соглашении.</w:t>
            </w:r>
          </w:p>
          <w:p w14:paraId="41358CBD" w14:textId="6031ED43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БВУ отчитываются перед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по целевому использованию и освоению размещенных кредитных средств.</w:t>
            </w:r>
          </w:p>
          <w:p w14:paraId="4B34855D" w14:textId="54B59E44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устанавливаются соответствующим кредитным соглашением. При отборе для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предэкспортного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выручки, не менее 5 % после 1 (одного) финансового года с даты начала финансирования такого проекта. Допускается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и/или финансирование экспортоориентированных проектов, обеспечивающих сохранение объемов экспортной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выручки субъектов МСП на уровне среднегодового объема экспортной выручки за предыдущие 2 (два) года до принятия решения о финансировании такого проекта.</w:t>
            </w:r>
          </w:p>
          <w:p w14:paraId="3570EBEB" w14:textId="77777777" w:rsid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БВУ направляют выделяемые средства на цели рефинансирования действующих инвестиционных кредитов субъектов МСП – до 50 % от суммы размещенных средств. </w:t>
            </w:r>
          </w:p>
          <w:p w14:paraId="068C101A" w14:textId="697F615E" w:rsidR="00C25EFC" w:rsidRPr="00320E4D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Данное условие не распространяется на действующие займы, участвующие в программах финансовой поддержки 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предпринимателей (Государственная программа поддержки и развития бизнеса 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Дорожная карта бизнеса-2020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Программа 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Даму </w:t>
            </w:r>
            <w:proofErr w:type="spellStart"/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Өндіріс</w:t>
            </w:r>
            <w:proofErr w:type="spellEnd"/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программы оздоровления Министерства финансов Республики Казахстан и акционерного общества </w:t>
            </w:r>
            <w:r w:rsidR="0032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Национальный управляющий холдинг 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КазАгро</w:t>
            </w:r>
            <w:proofErr w:type="spellEnd"/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  <w:p w14:paraId="74378837" w14:textId="090C6DD8" w:rsidR="00C25EFC" w:rsidRPr="00320E4D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Доля займов, направленных БВУ на цели финансирования новых проектов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конечных заемщиков, реализуемых в сфере пищевой промышленности, соответствующей приложению 1-1 к настоящему Плану и классу 11.06. и 11.07. раздела</w:t>
            </w:r>
            <w:r w:rsidR="00320E4D"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0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(Производство напитков) секции С (Обрабатывающая промышленность) общего классификатора видов экономической деятельности, утвержденного уполномоченным органом по техническому регулированию и метрологии, – не менее 25 % от суммы кредита.</w:t>
            </w:r>
          </w:p>
          <w:p w14:paraId="4AEF27C3" w14:textId="0DF21861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С 2019 года 50 млрд тенге за счет возвратных средств от финансирования субъектов МСП будут направлены на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и/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или финансирование экспортоориентированных проектов на револьверной основе до конца срока обращения средств Национального фонда.</w:t>
            </w:r>
          </w:p>
          <w:p w14:paraId="6815B8F4" w14:textId="1C1287D8" w:rsidR="00C25EFC" w:rsidRPr="00C25EFC" w:rsidRDefault="00C25EFC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– финансирование проекта субъектов 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субъектам МСП на осуществление инвестиционных затрат с целью последующего производства продукции для экспорта.</w:t>
            </w:r>
          </w:p>
          <w:p w14:paraId="5C131616" w14:textId="6D48629F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пропорций, предусмотренных частями 14 и 15, не распространяется на вторичное размещение средств БВУ.</w:t>
            </w:r>
          </w:p>
          <w:p w14:paraId="244EF6B2" w14:textId="6782B2CE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АО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направляет высвободившиеся кредитные средства на повторное кредитование БВУ.</w:t>
            </w:r>
          </w:p>
          <w:p w14:paraId="35C6A2A8" w14:textId="3F88BD54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В случаях нецелевого использования, полного или частичного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неосвоения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БВУ размещаемых средств, а также при наступлении иных случаев, предусмотренных кредитным соглашением, АО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применяет в отношении БВУ меры согласно условиям кредитного соглашения, в том числе инициирование вопроса досрочного расторжения кредитных соглашений и/или отзыва размещенных средств с дальнейшим их перераспределением среди других БВУ, и/или уступки портфеля БВУ (прав (требований) к субъектам МСП по договорам банковского займа) другому БВУ. Перераспределение отозванных, досрочно погашенных БВУ средств, а также уступка портфеля БВУ (прав (требований) к субъектам МСП по договорам банковского займа) другому БВУ осуществляются среди БВУ на основании соответствующего решения Госкомиссии.</w:t>
            </w:r>
          </w:p>
          <w:p w14:paraId="63DE7F38" w14:textId="1D10F669" w:rsidR="00320E4D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БВУ на ежемесячной основе осуществляют зачисление средств, высвободившихся за счет погашения ранее выданных займов субъектов МСП, на свои отдельные банковские счета в НБРК. При этом БВУ в течение трех месяцев направляют их на дальнейшее кредитование субъектов МСП либо досрочно возвращают на отдельные банковские счета АО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в НБ РК.</w:t>
            </w:r>
          </w:p>
          <w:p w14:paraId="3B58BF3F" w14:textId="13F55AA6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На займы, выданные АО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Цеснабанк</w:t>
            </w:r>
            <w:proofErr w:type="spellEnd"/>
            <w:r w:rsidR="00320E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, не распространяются:</w:t>
            </w:r>
          </w:p>
          <w:p w14:paraId="56ADB212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условие по целевому использованию;</w:t>
            </w:r>
          </w:p>
          <w:p w14:paraId="609542BD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БВУ по открытию счета в НБРК;</w:t>
            </w:r>
          </w:p>
          <w:p w14:paraId="47B3B818" w14:textId="73C8AA8F" w:rsidR="00C23014" w:rsidRPr="00C25EFC" w:rsidRDefault="00C25EFC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БВУ по предоставлению в АО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320E4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отчета по целевому использованию размещенных кредитных средств.</w:t>
            </w:r>
          </w:p>
        </w:tc>
        <w:tc>
          <w:tcPr>
            <w:tcW w:w="4500" w:type="dxa"/>
          </w:tcPr>
          <w:p w14:paraId="153F2DE5" w14:textId="1EFBE00D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Условия и механизмы обусловленного размещения средств в банках второго уровня</w:t>
            </w:r>
          </w:p>
          <w:p w14:paraId="5DD6C193" w14:textId="15DC2F6C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«НУХ «Байтерек» выносит перечень БВУ и суммы лимитов по ним на рассмотрение Государственной комиссией по вопросам модернизации экономики Республики Казахстан (далее – Госкомиссия). Госкомиссия определяет подходы к формированию годовой эффективной ставки вознаграждения для конечных заемщиков.</w:t>
            </w:r>
          </w:p>
          <w:p w14:paraId="12CCFFD1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«НУХ «Байтерек», АО «ФРП «Даму» и БВУ откроют отдельный банковский счет в НБРК для проведения платежей со средств, выделяемых из Национального Фонда Республики Казахстан.</w:t>
            </w:r>
          </w:p>
          <w:p w14:paraId="6284A141" w14:textId="3B140572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«НУХ «Байтерек» разместит на отдельном банковском счете АО «ФРП «Даму» в НБРК сумму средств по заключенному кредитному договору в соответствии с гражданским законодательством Республики Казахстан.</w:t>
            </w:r>
          </w:p>
          <w:p w14:paraId="35EC7C11" w14:textId="572302BC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«ФРП «Даму» осуществит заключение кредитных соглашений с БВУ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 соответствии с гражданским законодательством Республики Казахстан.</w:t>
            </w:r>
          </w:p>
          <w:p w14:paraId="4C605970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«ФРП «Даму» разместит полученные кредитные средства в БВУ со ставкой не более 2,0 % годовых.</w:t>
            </w:r>
          </w:p>
          <w:p w14:paraId="2753FF8C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«ФРП «Даму» будет осуществлять размещение кредитных средств на отдельном банковском счете БВУ в НБРК без обеспечения, в пределах лимитов, одобренных Госкомиссией.</w:t>
            </w:r>
          </w:p>
          <w:p w14:paraId="5C7F59E0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Валюта кредитования БВУ – тенге.</w:t>
            </w:r>
          </w:p>
          <w:p w14:paraId="1CA7D32C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Срок кредитования БВУ – до 20 лет.</w:t>
            </w:r>
          </w:p>
          <w:p w14:paraId="6D5D0EEE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Срок освоения БВУ кредитных средств с даты поступления средств на счет БВУ:</w:t>
            </w:r>
          </w:p>
          <w:p w14:paraId="2612B966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3 месяца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– по кредитам, выдаваемым на инвестиционные цели;</w:t>
            </w:r>
          </w:p>
          <w:p w14:paraId="375F3820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месяца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– по кредитам, выдаваемым на цели пополнения оборотных средств и рефинансирования ранее выданных займов БВУ.</w:t>
            </w:r>
          </w:p>
          <w:p w14:paraId="5AF8F4B2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Условия и порядок погашения основного долга и вознаграждения устанавливаются в кредитном соглашении.</w:t>
            </w:r>
          </w:p>
          <w:p w14:paraId="1F0F051A" w14:textId="5F695D34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БВУ отчитываются перед АО «ФРП «Даму» по целевому использованию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и освоению размещенных кредитных средств.</w:t>
            </w:r>
          </w:p>
          <w:p w14:paraId="57276C1E" w14:textId="1CACADB6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соглашением. При отборе для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предэкспортного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выручки, не менее 5 % после 1 (одного) финансового года с даты начала финансирования такого проекта. Допускается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и/или финансирование экспортоориентированных проектов, обеспечивающих сохранение объемов экспортной выручки субъектов МСП на уровне среднегодового объема экспортной выручки за предыдущие 2 (два) года до принятия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о финансировании такого проекта.</w:t>
            </w:r>
          </w:p>
          <w:p w14:paraId="1E6BA6CC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БВУ направляют выделяемые средства на цели рефинансирования действующих инвестиционных кредитов субъектов МСП – до 50 % от суммы размещенных средств. </w:t>
            </w:r>
          </w:p>
          <w:p w14:paraId="22EAA92B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года.</w:t>
            </w:r>
          </w:p>
          <w:p w14:paraId="1F688DEC" w14:textId="3B69AA31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2019 года 50 </w:t>
            </w:r>
            <w:r w:rsidR="00320E4D" w:rsidRPr="00C25EFC">
              <w:rPr>
                <w:rFonts w:ascii="Times New Roman" w:hAnsi="Times New Roman" w:cs="Times New Roman"/>
                <w:sz w:val="20"/>
                <w:szCs w:val="20"/>
              </w:rPr>
              <w:t>млрд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тенге за счет возвратных средств от финансирования субъектов МСП будут направлены на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</w:t>
            </w:r>
          </w:p>
          <w:p w14:paraId="2A8B87EE" w14:textId="5FB2E6AD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Предэкспортное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/экспортное финансирование – финансирование проекта субъектов 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субъектам МСП на осуществление инвестиционных затрат с целью последующего производства продукции для экспорта.</w:t>
            </w:r>
          </w:p>
          <w:p w14:paraId="45EA706E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Соблюдение пропорций, предусмотренных частями 14 и 15, не распространяется на вторичное размещение средств БВУ.</w:t>
            </w:r>
          </w:p>
          <w:p w14:paraId="4DE803ED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АО «ФРП «Даму» направляет высвободившиеся кредитные средства на повторное кредитование БВУ.</w:t>
            </w:r>
          </w:p>
          <w:p w14:paraId="5D5C1C90" w14:textId="3CDEAAB8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 нецелевого использования, полного или частичного 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неосвоения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 БВУ размещаемых средств, а также при наступлении иных случаев, предусмотренных кредитным соглашением, АО «ФРП «Даму» применяет в отношении БВУ меры согласно условиям кредитного соглашения, в том числе инициирование вопроса досрочного расторжения кредитных соглашений и/или отзыва размещенных средств с дальнейшим их перераспределением среди других БВУ, и/или уступки портфеля БВУ (прав (требований) к субъектам МСП по договорам банковского займа) другому БВУ. Перераспределение отозванных, досрочно погашенных БВУ средств, а также уступка портфеля БВУ (прав (требований) к субъектам МСП по договорам банковского займа) другому БВУ осуществляются среди БВУ на основании соответствующего решения Госкомиссии.</w:t>
            </w:r>
          </w:p>
          <w:p w14:paraId="31C0AB89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 xml:space="preserve">БВУ на ежемесячной основе осуществляют зачисление средств, высвободившихся за счет </w:t>
            </w:r>
            <w:r w:rsidRPr="00C25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погашения ранее выданных займов субъектов МСП, на свои отдельные банковские счета в НБРК. При этом БВУ в течение трех месяцев направляют их на дальнейшее кредитование субъектов МСП либо досрочно возвращают на отдельные банковские счета АО «ФРП «Даму» в НБ РК.</w:t>
            </w:r>
          </w:p>
          <w:p w14:paraId="47817DD6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На займы, выданные АО «</w:t>
            </w:r>
            <w:proofErr w:type="spellStart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Цеснабанк</w:t>
            </w:r>
            <w:proofErr w:type="spellEnd"/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», не распространяются:</w:t>
            </w:r>
          </w:p>
          <w:p w14:paraId="4DC55721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условие по целевому использованию;</w:t>
            </w:r>
          </w:p>
          <w:p w14:paraId="26AC6568" w14:textId="77777777" w:rsidR="00C25EFC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требования к БВУ по открытию счета в НБРК;</w:t>
            </w:r>
          </w:p>
          <w:p w14:paraId="1A68EF39" w14:textId="3EBB0725" w:rsidR="00B4237F" w:rsidRPr="00C25EFC" w:rsidRDefault="00C25EFC" w:rsidP="00C25EFC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C">
              <w:rPr>
                <w:rFonts w:ascii="Times New Roman" w:hAnsi="Times New Roman" w:cs="Times New Roman"/>
                <w:sz w:val="20"/>
                <w:szCs w:val="20"/>
              </w:rPr>
              <w:t>требования к БВУ по предоставлению в АО «ФРП «Даму» отчета по целевому использованию размещенных кредитных средств.</w:t>
            </w:r>
          </w:p>
        </w:tc>
        <w:tc>
          <w:tcPr>
            <w:tcW w:w="3337" w:type="dxa"/>
          </w:tcPr>
          <w:p w14:paraId="4DBE0194" w14:textId="77777777" w:rsidR="00AB6DEF" w:rsidRDefault="00BE24A8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</w:t>
            </w:r>
            <w:r w:rsidR="005847FD" w:rsidRPr="004214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граничение по марже в 4% исключается в связи с установлением фиксированной предельной ставки для СМСП – на уровне 12,6% годовых. </w:t>
            </w:r>
          </w:p>
          <w:p w14:paraId="48EAE503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0E592D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C69F1C3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2978A15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CD2F0F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9943CC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E295C4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C64D077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D22A499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7CFFA2E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30EC684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AD70AE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A90229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E1A220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1465B36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9D17647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362057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E1D8334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CD7F2A2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7E3B44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B039708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7C339CE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5F4EBB1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8B5A858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AC4D7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99E795A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77278F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BF529ED" w14:textId="77777777" w:rsidR="00F0275D" w:rsidRDefault="00F0275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F770CBF" w14:textId="6A355B1C" w:rsidR="00C25EFC" w:rsidRDefault="00C25EFC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Сокращение срока освоения до 3 месяцев направлено на повышение эффективности использования средств государственной поддержки и недопущение их длительного нецелевого размещения, что также способствует ускорению реализации проектов, повышению оборачиваемости средств и снижению рисков неэффективного использования.</w:t>
            </w:r>
          </w:p>
          <w:p w14:paraId="007EC0A5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CE056C7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4951DBB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99EE95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75BB90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56E1A8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27E1BF6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7CF9B9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81F4DA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0A5A6F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005BBA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FC3A4A1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5BC454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E3B67F9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C765639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262426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9E44241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80B760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33791AC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96AE190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33D3775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B313315" w14:textId="49816A38" w:rsidR="00DF5B07" w:rsidRDefault="00DF5B07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D4CC06" w14:textId="72A3C84F" w:rsidR="00DF5B07" w:rsidRDefault="00DF5B07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0487F81" w14:textId="485034A1" w:rsidR="00DF5B07" w:rsidRDefault="00DF5B07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FFEA3E" w14:textId="77777777" w:rsidR="00DF5B07" w:rsidRDefault="00DF5B07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8BC672" w14:textId="77777777" w:rsidR="00320E4D" w:rsidRDefault="00320E4D" w:rsidP="0014179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848D66F" w14:textId="77777777" w:rsidR="00320E4D" w:rsidRPr="00421450" w:rsidRDefault="00320E4D" w:rsidP="00320E4D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целях актуализации условий программы рефинансирование предлагается только по инвестиционным займам, выданным с 1 января 2025 года, что позволит повысить целевую эффективность программы, ускорить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оборачиваемость средств и сфокусировать поддержку на новых и модернизируемых проектах. </w:t>
            </w:r>
          </w:p>
          <w:p w14:paraId="20EC9884" w14:textId="0927B46E" w:rsid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7F55">
              <w:rPr>
                <w:rFonts w:ascii="Times New Roman" w:hAnsi="Times New Roman" w:cs="Times New Roman"/>
                <w:bCs/>
                <w:sz w:val="20"/>
                <w:szCs w:val="20"/>
              </w:rPr>
              <w:t>Исключение условий по программам «ДКБ</w:t>
            </w:r>
            <w:r w:rsidRPr="00FD7F55">
              <w:rPr>
                <w:rFonts w:ascii="Times New Roman" w:hAnsi="Times New Roman" w:cs="Times New Roman"/>
                <w:bCs/>
                <w:sz w:val="20"/>
                <w:szCs w:val="20"/>
              </w:rPr>
              <w:noBreakHyphen/>
              <w:t xml:space="preserve">2020» </w:t>
            </w:r>
            <w:r w:rsidRP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(утратило силу постановлением Правительства РК от 31.03.2015 № 168)</w:t>
            </w:r>
            <w:r w:rsidRPr="00C133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«Даму </w:t>
            </w:r>
            <w:proofErr w:type="spellStart"/>
            <w:r w:rsidRPr="00C133B5">
              <w:rPr>
                <w:rFonts w:ascii="Times New Roman" w:hAnsi="Times New Roman" w:cs="Times New Roman"/>
                <w:bCs/>
                <w:sz w:val="20"/>
                <w:szCs w:val="20"/>
              </w:rPr>
              <w:t>Өндіріс</w:t>
            </w:r>
            <w:proofErr w:type="spellEnd"/>
            <w:r w:rsidRPr="00C133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(реализовывалась в рамках Плана совместных действий Правительства, Национального Банка и Агентства по регулированию и надзору финансового рынка и финансовых организаций РК на 2009–2010 годы — Постановление Правительства РК № 1085 от 25.11.2008</w:t>
            </w:r>
            <w:r w:rsid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г.</w:t>
            </w:r>
            <w:r w:rsidRP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и Постановление Правительства РК № 1553 от 09.10.2009</w:t>
            </w:r>
            <w:r w:rsid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г.</w:t>
            </w:r>
            <w:r w:rsidRPr="00DB623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  <w:r w:rsidRPr="00C133B5">
              <w:rPr>
                <w:rFonts w:ascii="Times New Roman" w:hAnsi="Times New Roman" w:cs="Times New Roman"/>
                <w:bCs/>
                <w:sz w:val="20"/>
                <w:szCs w:val="20"/>
              </w:rPr>
              <w:t>, а также механизмам финансового оздоровления субъектов АПК через Минфин и АО «На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циональный управляющий холдинг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КазАгро</w:t>
            </w:r>
            <w:proofErr w:type="spellEnd"/>
            <w:r w:rsidRPr="00C133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7163F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(предусматривались программой «Агробизнес</w:t>
            </w:r>
            <w:r w:rsidRPr="007163F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noBreakHyphen/>
              <w:t>2020», отменённой постановлением Правительства РК от 13.03.2017 № 113)</w:t>
            </w:r>
            <w:r w:rsidRPr="00FD7F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обосновано прекращением их действия и утратой актуальности соответствующих ограничений.</w:t>
            </w:r>
          </w:p>
          <w:p w14:paraId="2FA3C69D" w14:textId="77777777" w:rsidR="00320E4D" w:rsidRPr="001F698C" w:rsidRDefault="00320E4D" w:rsidP="00320E4D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реализации Программы, по состоянию на 01.11.2025 г., профинансировано 3 642 проекта на общую сумму 1 313 857 млн тенге. Пищевая промышленность получила значительную поддержку: 1 028 проектов на сумму 532 994 млн тенге, что составляет 38–42 % от общего объёма финансирования каждого транша. Для сравнения, металлургия и машиностроение получили 15–25 %, химическая промышленность — 4–15 %, </w:t>
            </w: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производство неметаллической минеральной продукции — 9–16 %.</w:t>
            </w:r>
          </w:p>
          <w:p w14:paraId="39073387" w14:textId="77777777" w:rsidR="00320E4D" w:rsidRPr="001F698C" w:rsidRDefault="00320E4D" w:rsidP="00320E4D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 работает преимущественно за счёт револьверных средств — повторного использования возвратных займов. Обязательное отраслевое распределение револьверного кредита банком, предусматривающее направление 25 % средств на проекты пищевой промышленности, ограничивает возможность оперативного перераспределения капитала в более востребованные и экономически эффективные проекты других отраслей, снижая скорость оборота средств и мультипликативный эффект программы.</w:t>
            </w:r>
          </w:p>
          <w:p w14:paraId="64508840" w14:textId="77777777" w:rsidR="00320E4D" w:rsidRPr="001F698C" w:rsidRDefault="00320E4D" w:rsidP="00320E4D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Дисбаланс между секторами усиливается, поскольку пищевая промышленность уже включена в приоритетный раздел обрабатывающей промышленности. Сохранение обязательного отраслевого распределения создаёт необоснованное преимущество одной подотрасли и ограничивает доступ к финансированию других приоритетных отраслей, которые также имеют высокую экономическую значимость.</w:t>
            </w:r>
          </w:p>
          <w:p w14:paraId="61195DD0" w14:textId="0087E0A9" w:rsidR="00320E4D" w:rsidRPr="00421450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Исключение обязательного отраслевого распределения револьверного кредита позволит обеспечить рациональное распределение ресурсов, ускорить оборот средств, повысить результативность программы и гарантировать равные условия для всех приоритетных отраслей и регионов, сохраняя при этом возвратность и экономическую </w:t>
            </w: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эффективность использования средств.</w:t>
            </w:r>
          </w:p>
        </w:tc>
      </w:tr>
      <w:tr w:rsidR="00320E4D" w:rsidRPr="000841A8" w14:paraId="5D02B782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2FCB6436" w14:textId="53866F66" w:rsidR="00320E4D" w:rsidRPr="00421450" w:rsidRDefault="00320E4D" w:rsidP="001F698C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lastRenderedPageBreak/>
              <w:t>2.</w:t>
            </w:r>
          </w:p>
        </w:tc>
        <w:tc>
          <w:tcPr>
            <w:tcW w:w="2250" w:type="dxa"/>
          </w:tcPr>
          <w:p w14:paraId="28D02D8E" w14:textId="13FA5A88" w:rsidR="00320E4D" w:rsidRPr="00EE0BA4" w:rsidRDefault="00EE0BA4" w:rsidP="00C25EFC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раздел </w:t>
            </w:r>
            <w:r w:rsidRPr="00EE0B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EE0B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Условия финансирования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4500" w:type="dxa"/>
          </w:tcPr>
          <w:p w14:paraId="2DF62670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 Условия финансирования субъектов малого и среднего предпринимательства</w:t>
            </w:r>
          </w:p>
          <w:p w14:paraId="0C8ED6DA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Целевая группа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субъекты МСП, реализующие и (или) планирующие реализовать проекты в обрабатывающей промышленности, согласно приложению 1 к настоящему Плану,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 исключением проектов в пищевой промышленности, кредитование которых осуществляется в соответствии с перечнем сфер пищевой промышленности для финансирования согласно приложению 1-1 к настоящему Плану (далее - перечень). При этом, для подтверждения целевого назначения проекта в сфере пищевой промышленности достаточно выпуска не менее одного вида товара из перечня, привязанного к конкретному коду общего классификатора видов экономической деятельности (далее - ОКЭД). Для сферы услуг критерием соответствия будет отнесение к кодам ОКЭД. </w:t>
            </w:r>
          </w:p>
          <w:p w14:paraId="2EBCFB0C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не могут быть субъекты МСП: </w:t>
            </w:r>
          </w:p>
          <w:p w14:paraId="18BDB713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 </w:t>
            </w:r>
          </w:p>
          <w:p w14:paraId="43E98DCD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компаниям; </w:t>
            </w:r>
          </w:p>
          <w:p w14:paraId="616E0C20" w14:textId="5A293130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3) с момента </w:t>
            </w:r>
            <w:r w:rsidR="00EE0BA4" w:rsidRPr="00320E4D">
              <w:rPr>
                <w:rFonts w:ascii="Times New Roman" w:hAnsi="Times New Roman" w:cs="Times New Roman"/>
                <w:sz w:val="20"/>
                <w:szCs w:val="20"/>
              </w:rPr>
              <w:t>государственной регистрации,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менее шести месяцев, за исключением случаев реорганизации действующих предприятий и (или) когда сумма кредита не превышает 60 миллионов тенге; </w:t>
            </w:r>
          </w:p>
          <w:p w14:paraId="2CC55622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4) имеющих просроченную ссудную задолженность свыше девяносто календарных дней на момент кредитования или подачи кредитной заявки согласно данным кредитного бюро, за исключением случаев, когда целью кредита является рефинансирование; </w:t>
            </w:r>
          </w:p>
          <w:p w14:paraId="129CF00C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5) которые зарегистрированы в оффшорных зонах, указанных в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приказе Министра финансов Республики Казахстан от 10 февраля 2010 года № 52, зарегистрированном в реестре государственной регистрации нормативных правовых актов № 6058, и (или) постановлении правления Агентства Республики Казахстан по регулированию и надзору финансового рынка и финансовых организаций от 2 октября 2008 года № 145 </w:t>
            </w:r>
            <w:r w:rsidR="00EE0BA4"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перечня оффшорных зон для целей банковской и страховой деятельности, деятельности профессиональных участников рынка ценных бумаг и иных лицензируемых видов деятельности на рынке ценных бумаг, деятельности накопительных пенсионных фондов и акционерных инвестиционных фондов</w:t>
            </w:r>
            <w:r w:rsidR="00EE0BA4"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EE0BA4">
              <w:rPr>
                <w:rFonts w:ascii="Times New Roman" w:hAnsi="Times New Roman" w:cs="Times New Roman"/>
                <w:sz w:val="20"/>
                <w:szCs w:val="20"/>
              </w:rPr>
              <w:t xml:space="preserve">, а также участники и (или) акционеры которых зарегистрированы в оффшорных зонах. </w:t>
            </w:r>
          </w:p>
          <w:p w14:paraId="39B3E9A8" w14:textId="46179ADD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В целях кредитования одобренных заявок субъектов МСП БВУ осуществляют предварительное согласование с АО 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ФРП 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>Даму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 после выезда на место реализации проекта субъектов МСП. Кредиты предоставляются субъектам МСП на условиях целевого использования, платности, срочности, возвратности и обеспеченности. </w:t>
            </w:r>
          </w:p>
          <w:p w14:paraId="266B7147" w14:textId="02E581DF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Валюта кредитования – тенге. </w:t>
            </w:r>
          </w:p>
          <w:p w14:paraId="1747CF46" w14:textId="5A6316B8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Цели кредитования субъектов МСП: </w:t>
            </w:r>
          </w:p>
          <w:p w14:paraId="23D32035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1) приобретение новых для конечного заемщика (то есть впервые используемых конечным заемщиком), создание и модернизация основных средств; </w:t>
            </w:r>
          </w:p>
          <w:p w14:paraId="661BD549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2) рефинансирование действующих инвестиционных кредитов до 50 % от суммы кредитных средств на каждый БВУ; </w:t>
            </w:r>
          </w:p>
          <w:p w14:paraId="217CAD5D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3) пополнение оборотных средств и (или) финансирование инвестиционных проектов для целей </w:t>
            </w:r>
            <w:proofErr w:type="spellStart"/>
            <w:r w:rsidRPr="00320E4D">
              <w:rPr>
                <w:rFonts w:ascii="Times New Roman" w:hAnsi="Times New Roman" w:cs="Times New Roman"/>
                <w:sz w:val="20"/>
                <w:szCs w:val="20"/>
              </w:rPr>
              <w:t>предэкспортного</w:t>
            </w:r>
            <w:proofErr w:type="spellEnd"/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/экспортного финансирования и/или финансирования экспортоориентированных проектов. </w:t>
            </w:r>
          </w:p>
          <w:p w14:paraId="5444C8F9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Прочие условия определяются в кредитном соглашении. </w:t>
            </w:r>
          </w:p>
          <w:p w14:paraId="19673193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ставка вознаграждения для субъектов МСП –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более 6,0 % годовых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20FEC94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лимит финансирования на одного субъекта МСП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3600000000 (три миллиарда шестьсот миллионов)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тенге, за исключением проектов в сфере пищевой промышленности, по которым лимит отсутствует.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FC8C4B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Срок кредитования субъектов МСП – до 10 лет. </w:t>
            </w:r>
          </w:p>
          <w:p w14:paraId="752E5830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займов, направленных БВУ на цели финансирования новых проектов конечных заемщиков, реализуемых в отрасли экономики, соответствующей разделу 10 (Производство продуктов питания) и классу 11.06. и 11.07. раздела 11 (Производство напитков) секции С (Обрабатывающая промышленность) общего классификатора видов экономической деятельности, утвержденного уполномоченным органом по техническому регулированию и метрологии, – не менее 25 % от суммы кредита. В случае кредитования проектов в сфере пищевой промышленности на сумму свыше 500000000 (пятьсот миллионов) тенге, необходимо положительное заключение уполномоченного органа в области развития агропромышленного комплекса (далее - уполномоченный орган). Для этого АО </w:t>
            </w:r>
            <w:r w:rsidR="00EE0BA4"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ФРП </w:t>
            </w:r>
            <w:r w:rsidR="00EE0BA4"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Даму</w:t>
            </w:r>
            <w:r w:rsidR="00EE0BA4"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направляет уполномоченному органу запрос и следующую информацию: краткая информация по проекту, мощность проекта, производимый продукт, место реализации проекта (область, район, населенный пункт), наличие сырьевой базы, потенциальные рынки сбыта. </w:t>
            </w:r>
          </w:p>
          <w:p w14:paraId="2D52D7B6" w14:textId="77777777" w:rsid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в течение 7 (семь) рабочих дней после даты получения запроса представляет заключение об отраслевой целесообразности или нецелесообразности финансирования проекта. </w:t>
            </w:r>
          </w:p>
          <w:p w14:paraId="5570746E" w14:textId="0F26DFD5" w:rsidR="00320E4D" w:rsidRPr="00EE0BA4" w:rsidRDefault="00320E4D" w:rsidP="00EE0BA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 xml:space="preserve">Условия настоящего раздела не распространяются на займы, выданные АО </w:t>
            </w:r>
            <w:r w:rsidR="00EE0B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20E4D">
              <w:rPr>
                <w:rFonts w:ascii="Times New Roman" w:hAnsi="Times New Roman" w:cs="Times New Roman"/>
                <w:sz w:val="20"/>
                <w:szCs w:val="20"/>
              </w:rPr>
              <w:t>Цеснабанк</w:t>
            </w:r>
            <w:proofErr w:type="spellEnd"/>
            <w:r w:rsidR="00EE0B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20E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7CC02B31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 Условия финансирования субъектов малого и среднего предпринимательства</w:t>
            </w:r>
          </w:p>
          <w:p w14:paraId="7345DEF3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Целевая группа – субъекты МСП, реализующие и (или) планирующие реализовать проекты в обрабатывающей промышленности, согласно приложению 1 к настоящему Плану.</w:t>
            </w:r>
          </w:p>
          <w:p w14:paraId="5A86FCB3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Участниками не могут быть субъекты МСП:</w:t>
            </w:r>
          </w:p>
          <w:p w14:paraId="1B35F930" w14:textId="39B8D320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00A55A5E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компаниям;</w:t>
            </w:r>
          </w:p>
          <w:p w14:paraId="284662F3" w14:textId="4342BF44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3) с момента государственной регистрации которых прошло менее шести месяцев, за исключением случаев реорганизации действующих предприятий</w:t>
            </w:r>
            <w:r w:rsidR="00EE0B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(или) когда сумма кредита не превышает 60 миллионов тенге;</w:t>
            </w:r>
          </w:p>
          <w:p w14:paraId="2F4EB9DA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4) имеющих просроченную ссудную задолженность свыше девяносто календарных дней на момент кредитования или подачи кредитной заявки согласно данным кредитного бюро, за исключением случаев, когда целью кредита является рефинансирование;</w:t>
            </w:r>
          </w:p>
          <w:p w14:paraId="1EB16020" w14:textId="22DE0028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5) которые зарегистрированы в оффшорных зонах, указанных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в постановлении правления Агентства Республики Казахстан по регулированию и развитию финансового рынка от 24 февраля 2020 года № 8 «Об установлении Перечня офшорных зон для целей банковской и страховой деятельности, деятельности профессиональных участников рынка ценных бумаг и иных лицензируемых видов деятельности на рынке ценных бумаг, деятельности акционерных инвестиционных фондов и деятельности организаций, осуществляющих микрофинансовую деятельность»,</w:t>
            </w: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 также участники и (или) акционеры которых зарегистрированы в оффшорных зонах.</w:t>
            </w:r>
          </w:p>
          <w:p w14:paraId="15C16878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целях кредитования одобренных заявок субъектов МСП БВУ осуществляют предварительное согласование с АО «ФРП «Даму»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«ФРП «Даму» после выезда на место реализации проекта субъектов МСП.</w:t>
            </w:r>
          </w:p>
          <w:p w14:paraId="37D189F4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Кредиты предоставляются субъектам МСП на условиях целевого использования, платности, срочности, возвратности и обеспеченности.</w:t>
            </w:r>
          </w:p>
          <w:p w14:paraId="7CA61E9E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Валюта кредитования – тенге.</w:t>
            </w:r>
          </w:p>
          <w:p w14:paraId="0BF19075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Цели кредитования субъектов МСП:</w:t>
            </w:r>
          </w:p>
          <w:p w14:paraId="4D3F9220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1) приобретение новых для конечного заемщика (то есть впервые используемых конечным заемщиком), создание и модернизация основных средств;</w:t>
            </w:r>
          </w:p>
          <w:p w14:paraId="1AD5A341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2) рефинансирование действующих инвестиционных кредитов до 50 % от суммы кредитных средств на каждый БВУ;</w:t>
            </w:r>
          </w:p>
          <w:p w14:paraId="10E4AEFC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3) пополнение оборотных средств и (или) финансирование инвестиционных проектов для целей предэкспортного/экспортного финансирования и/или финансирования экспортоориентированных проектов.</w:t>
            </w:r>
          </w:p>
          <w:p w14:paraId="3019C021" w14:textId="77777777" w:rsidR="00320E4D" w:rsidRP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года.</w:t>
            </w:r>
          </w:p>
          <w:p w14:paraId="66EC8FDF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 условия определяются в кредитном соглашении.</w:t>
            </w:r>
          </w:p>
          <w:p w14:paraId="1C584EB5" w14:textId="77777777" w:rsidR="00320E4D" w:rsidRPr="00EE0BA4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Номинальная ставка вознаграждения для субъектов МСП -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не более 12,6% годовых</w:t>
            </w: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E0BA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уровня.</w:t>
            </w:r>
          </w:p>
          <w:p w14:paraId="02D0306D" w14:textId="77777777" w:rsidR="00320E4D" w:rsidRPr="00F0275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Максимальный лимит финансирования на одного </w:t>
            </w:r>
            <w:r w:rsidRPr="00F027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СМСП/на группу связанных лиц 7 000 000 000 (семь миллиардов) тенге, с учетом действующих обязательств по всем программам обусловленного размещения средств АО «ФРП «Даму».</w:t>
            </w:r>
          </w:p>
          <w:p w14:paraId="07DE81B2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Срок кредитования субъектов МСП – до 10 лет.</w:t>
            </w:r>
          </w:p>
          <w:p w14:paraId="7E2230B3" w14:textId="77777777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Уполномоченный орган в течение 7 (семь) рабочих дней после даты получения запроса представляет заключение об отраслевой целесообразности или нецелесообразности финансирования проекта.</w:t>
            </w:r>
          </w:p>
          <w:p w14:paraId="562F839D" w14:textId="2E7686C3" w:rsidR="00320E4D" w:rsidRPr="00320E4D" w:rsidRDefault="00320E4D" w:rsidP="00320E4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E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Условия настоящего раздела не распространяются на займы, выданные АО «Цеснабанк».</w:t>
            </w:r>
          </w:p>
        </w:tc>
        <w:tc>
          <w:tcPr>
            <w:tcW w:w="3337" w:type="dxa"/>
          </w:tcPr>
          <w:p w14:paraId="372A7FA0" w14:textId="6A02987A" w:rsidR="007163F5" w:rsidRDefault="007163F5" w:rsidP="00EE0BA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1 Сравнительной таблицы.</w:t>
            </w:r>
          </w:p>
          <w:p w14:paraId="77AE3EE0" w14:textId="764D2919" w:rsidR="00EE0BA4" w:rsidRDefault="007163F5" w:rsidP="00EE0BA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Вместе с тем, п</w:t>
            </w:r>
            <w:r w:rsidR="00EE0BA4"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риказ Министра финансов Республики Казахстан от 10 февраля 2010 года № 52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EE0BA4" w:rsidRPr="00C32A8E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>Об утверждении Перечня оффшорных зон для цел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 xml:space="preserve">ей Закона Республики Казахстан 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EE0BA4" w:rsidRPr="00C32A8E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>О противодействии легализации (отмыванию) доходов, полученных преступным путем, и финансированию терроризма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EE0BA4"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утратил силу с 15 ноября 2020 года в соответствии с приказом Министра финансов Республики Казахстан от 24 сентября 2020 года № 915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EE0BA4" w:rsidRPr="00031911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>О признании утратившими силу некоторых приказов Министерства финансов Республики Казахстан</w:t>
            </w:r>
            <w:r w:rsidR="00EE0BA4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  <w:r w:rsidR="00EE0BA4"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7161749" w14:textId="77777777" w:rsidR="00EE0BA4" w:rsidRDefault="00EE0BA4" w:rsidP="00EE0BA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остановление правления Агентства Республики Казахстан по регулированию и надзору финансового рынка и финансовых организаций от 2 октября 2008 года № 145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C32A8E">
              <w:rPr>
                <w:rFonts w:ascii="Times New Roman" w:hAnsi="Times New Roman" w:cs="Times New Roman"/>
                <w:bCs/>
                <w:sz w:val="20"/>
                <w:szCs w:val="20"/>
              </w:rPr>
              <w:t>Об утверждении Перечня оффшорных зон для целей банковской и страховой деятельности, деятельности профессиональных участников рынка ценных бумаг и иных лицензируемых видов деятельности на рынке ценных бумаг, деятельности накопительных пенсионных фондов и акционерных инвестиционных фондов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утратил силу постановлением Правления Агентства Республики Казахстан по регулированию и развитию финансового рынка от 24 февраля 2020 года № 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031911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>Об установлении Перечня офшорных зон для целей банковской и страховой деятельности, деятельности профессиональных участников рынка ценных бумаг и иных лицензируемых видов деятельности на рынке ценных бумаг, деятельности акционерных инвестиционных фондов и деятельности организаций, осуществляющих микрофинансовую деятельность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1F698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5883445" w14:textId="77777777" w:rsidR="003E6F3E" w:rsidRDefault="003E6F3E" w:rsidP="003E6F3E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целях актуализации условий программы рефинансирование предлагается только по инвестиционным займам, выданным с 1 января 2025 года, что позволит повысить целевую эффективность программы, ускорить оборачиваемость средств и сфокусировать поддержку на новых и модернизируемых проектах. </w:t>
            </w:r>
          </w:p>
          <w:p w14:paraId="5B4AAE52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6E9D34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21E35C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A74ADA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FD39B0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1F30E5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31600D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1BB13E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BA227D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DE5F1A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B3B0B4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DA6834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E650D3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913DB2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CF64C5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4C6007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D6554B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B8FF9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512921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D7D14A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CFB61D" w14:textId="77777777" w:rsidR="007163F5" w:rsidRDefault="007163F5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83BF80" w14:textId="77777777" w:rsidR="00430EE5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3E6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Установление ставки вознаграждения:</w:t>
            </w:r>
          </w:p>
          <w:p w14:paraId="7D9E5041" w14:textId="0FCB8396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 Протоколом совещания по вопросам финансирования реального сектора экономики банками второго уровня от 19.03.2025 года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 председательством Премьер-Министра Республики Казахстан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в целях обеспечения прозрачности, предсказуемости и равных условий для заемщиков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поручено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установить единую ставку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вознаграждения для конечных заемщиков на уровне 12,6 % годовых по всем программам обусловленного финансирования через БВУ.</w:t>
            </w:r>
          </w:p>
          <w:p w14:paraId="3D79D755" w14:textId="77777777" w:rsidR="003E6F3E" w:rsidRPr="00F103E6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3E6">
              <w:rPr>
                <w:rFonts w:ascii="Times New Roman" w:hAnsi="Times New Roman" w:cs="Times New Roman"/>
                <w:b/>
                <w:sz w:val="20"/>
                <w:szCs w:val="20"/>
              </w:rPr>
              <w:t>По микшированию средств:</w:t>
            </w:r>
          </w:p>
          <w:p w14:paraId="0646AC54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Финансирование проектов МСП на условиях микширования средств Национального фонда и собственных средств банков второго уровня позволяет эффективно распределять риски между государством и финансовыми организациями. Такой подход сохраняет рыночные принципы, усиливает вовлеченность банков в процесс кредитования и обеспечивает мультипликативный эффект от использования государственных средств.</w:t>
            </w:r>
          </w:p>
          <w:p w14:paraId="604DBAD3" w14:textId="77777777" w:rsidR="003E6F3E" w:rsidRPr="00F103E6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3E6">
              <w:rPr>
                <w:rFonts w:ascii="Times New Roman" w:hAnsi="Times New Roman" w:cs="Times New Roman"/>
                <w:b/>
                <w:sz w:val="20"/>
                <w:szCs w:val="20"/>
              </w:rPr>
              <w:t>По увеличению лимита МСП:</w:t>
            </w:r>
          </w:p>
          <w:p w14:paraId="21052638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максимального лимита финансирования с 3,6 млрд до 7 млрд тенге на одного СМСП/группу связанных СМСП обусловлено необходимостью поддержки более масштабных инвестиционных проектов, роста стоимости активов и стремлением повысить эффективность использования средств Национального фонда РК.</w:t>
            </w:r>
          </w:p>
          <w:p w14:paraId="77D90E33" w14:textId="03F51664" w:rsidR="003E6F3E" w:rsidRPr="003E6F3E" w:rsidRDefault="003E6F3E" w:rsidP="003E6F3E">
            <w:pPr>
              <w:shd w:val="clear" w:color="auto" w:fill="FFFFFF" w:themeFill="background1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Мера направлена на расширение доступа к финансированию для капиталоемких проектов, в первую очередь в производственном секторе.</w:t>
            </w:r>
          </w:p>
        </w:tc>
      </w:tr>
      <w:tr w:rsidR="003E6F3E" w:rsidRPr="000841A8" w14:paraId="2108BE07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4A102777" w14:textId="20B233DA" w:rsidR="003E6F3E" w:rsidRDefault="003E6F3E" w:rsidP="003E6F3E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3.</w:t>
            </w:r>
          </w:p>
        </w:tc>
        <w:tc>
          <w:tcPr>
            <w:tcW w:w="2250" w:type="dxa"/>
          </w:tcPr>
          <w:p w14:paraId="68C6D9FE" w14:textId="331BB324" w:rsidR="003E6F3E" w:rsidRDefault="003E6F3E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FE8">
              <w:rPr>
                <w:rFonts w:ascii="Times New Roman" w:hAnsi="Times New Roman" w:cs="Times New Roman"/>
                <w:sz w:val="20"/>
                <w:szCs w:val="20"/>
              </w:rPr>
              <w:t>раздел 6 «Дополнительные меры государственной поддержки»</w:t>
            </w:r>
          </w:p>
        </w:tc>
        <w:tc>
          <w:tcPr>
            <w:tcW w:w="4500" w:type="dxa"/>
          </w:tcPr>
          <w:p w14:paraId="2FA5D657" w14:textId="09C45D86" w:rsidR="003E6F3E" w:rsidRPr="00320E4D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F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стимулирования финансирования новых проектов субъектов МСП, получающих средства в рамках настоящего Плана, АО «ФРП «Даму» может применять механизм гарантирования кредитов по новым проектам в рамках </w:t>
            </w:r>
            <w:r w:rsidRPr="007C2FE8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программы поддержки и развития бизнеса «Дорожная карта бизнеса – 2025»</w:t>
            </w:r>
            <w:r w:rsidRPr="007C2FE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081CA51F" w14:textId="4D4497D3" w:rsidR="003E6F3E" w:rsidRPr="00320E4D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F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стимулирования финансирования новых проектов субъектов МСП, получающих средства в рамках настоящего Плана, АО «ФРП «Даму» может применять механизм гарантирования кредитов по новым проектам в рамках </w:t>
            </w:r>
            <w:r w:rsidRPr="007C2FE8">
              <w:rPr>
                <w:rFonts w:ascii="Times New Roman" w:hAnsi="Times New Roman" w:cs="Times New Roman"/>
                <w:b/>
                <w:sz w:val="20"/>
                <w:szCs w:val="20"/>
              </w:rPr>
              <w:t>реализуемых программ АО «ФРП «Даму»</w:t>
            </w:r>
            <w:r w:rsidRPr="007C2FE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337" w:type="dxa"/>
          </w:tcPr>
          <w:p w14:paraId="5B8151B1" w14:textId="466C0EBB" w:rsidR="003E6F3E" w:rsidRPr="00D9469B" w:rsidRDefault="003E6F3E" w:rsidP="003E6F3E">
            <w:pPr>
              <w:pStyle w:val="3"/>
              <w:shd w:val="clear" w:color="auto" w:fill="FFFFFF"/>
              <w:spacing w:before="0" w:beforeAutospacing="0" w:after="0" w:afterAutospacing="0"/>
              <w:ind w:firstLine="111"/>
              <w:jc w:val="both"/>
              <w:textAlignment w:val="baseline"/>
              <w:outlineLvl w:val="2"/>
              <w:rPr>
                <w:b w:val="0"/>
                <w:bCs w:val="0"/>
                <w:sz w:val="20"/>
                <w:szCs w:val="20"/>
              </w:rPr>
            </w:pPr>
            <w:r w:rsidRPr="00D9469B">
              <w:rPr>
                <w:b w:val="0"/>
                <w:sz w:val="20"/>
                <w:szCs w:val="20"/>
              </w:rPr>
              <w:t>Постановление Правительства Республики Казахстана от 24 декабря 2019 года № 968 «</w:t>
            </w:r>
            <w:r w:rsidRPr="00D9469B">
              <w:rPr>
                <w:b w:val="0"/>
                <w:sz w:val="20"/>
                <w:szCs w:val="20"/>
                <w:lang w:val="ru-KZ"/>
              </w:rPr>
              <w:t xml:space="preserve">Об утверждении Государственной программы поддержки и развития бизнеса </w:t>
            </w:r>
            <w:r w:rsidRPr="00D9469B">
              <w:rPr>
                <w:b w:val="0"/>
                <w:sz w:val="20"/>
                <w:szCs w:val="20"/>
              </w:rPr>
              <w:t>«Дорожная карта бизнеса – 2025» утратило силу постановлением Правительства Республики Казахстан от 2 февраля 2022 года № 43</w:t>
            </w:r>
            <w:r w:rsidRPr="00D9469B">
              <w:rPr>
                <w:b w:val="0"/>
                <w:bCs w:val="0"/>
                <w:sz w:val="20"/>
                <w:szCs w:val="20"/>
              </w:rPr>
              <w:t xml:space="preserve"> «</w:t>
            </w:r>
            <w:r w:rsidR="00DB6234" w:rsidRPr="00DB6234">
              <w:rPr>
                <w:b w:val="0"/>
                <w:bCs w:val="0"/>
                <w:sz w:val="20"/>
                <w:szCs w:val="20"/>
              </w:rPr>
              <w:t xml:space="preserve">О внесении изменений и дополнения в постановления Правительства Республики Казахстан от 11 декабря 2018 года № 820 </w:t>
            </w:r>
            <w:r w:rsidR="00DB6234">
              <w:rPr>
                <w:b w:val="0"/>
                <w:bCs w:val="0"/>
                <w:sz w:val="20"/>
                <w:szCs w:val="20"/>
              </w:rPr>
              <w:t>«</w:t>
            </w:r>
            <w:r w:rsidR="00DB6234" w:rsidRPr="00DB6234">
              <w:rPr>
                <w:b w:val="0"/>
                <w:bCs w:val="0"/>
                <w:sz w:val="20"/>
                <w:szCs w:val="20"/>
              </w:rPr>
              <w:t xml:space="preserve">О некоторых вопросах обеспечения долгосрочной </w:t>
            </w:r>
            <w:proofErr w:type="spellStart"/>
            <w:r w:rsidR="00DB6234" w:rsidRPr="00DB6234">
              <w:rPr>
                <w:b w:val="0"/>
                <w:bCs w:val="0"/>
                <w:sz w:val="20"/>
                <w:szCs w:val="20"/>
              </w:rPr>
              <w:t>тенговой</w:t>
            </w:r>
            <w:proofErr w:type="spellEnd"/>
            <w:r w:rsidR="00DB6234" w:rsidRPr="00DB6234">
              <w:rPr>
                <w:b w:val="0"/>
                <w:bCs w:val="0"/>
                <w:sz w:val="20"/>
                <w:szCs w:val="20"/>
              </w:rPr>
              <w:t xml:space="preserve"> ликвидности для решения задачи доступного кредитования</w:t>
            </w:r>
            <w:r w:rsidR="00DB6234">
              <w:rPr>
                <w:b w:val="0"/>
                <w:bCs w:val="0"/>
                <w:sz w:val="20"/>
                <w:szCs w:val="20"/>
              </w:rPr>
              <w:t>»</w:t>
            </w:r>
            <w:r w:rsidR="00DB6234" w:rsidRPr="00DB6234">
              <w:rPr>
                <w:b w:val="0"/>
                <w:bCs w:val="0"/>
                <w:sz w:val="20"/>
                <w:szCs w:val="20"/>
              </w:rPr>
              <w:t xml:space="preserve"> и от 31 декабря 2019 года № 1060 </w:t>
            </w:r>
            <w:r w:rsidR="00DB6234">
              <w:rPr>
                <w:b w:val="0"/>
                <w:bCs w:val="0"/>
                <w:sz w:val="20"/>
                <w:szCs w:val="20"/>
              </w:rPr>
              <w:t>«</w:t>
            </w:r>
            <w:r w:rsidR="00DB6234" w:rsidRPr="00DB6234">
              <w:rPr>
                <w:b w:val="0"/>
                <w:bCs w:val="0"/>
                <w:sz w:val="20"/>
                <w:szCs w:val="20"/>
              </w:rPr>
              <w:t>О некоторых мерах государственной поддержки частного предпринимательства</w:t>
            </w:r>
            <w:r w:rsidR="00DB6234">
              <w:rPr>
                <w:b w:val="0"/>
                <w:bCs w:val="0"/>
                <w:sz w:val="20"/>
                <w:szCs w:val="20"/>
              </w:rPr>
              <w:t>»</w:t>
            </w:r>
            <w:r w:rsidRPr="00D9469B">
              <w:rPr>
                <w:b w:val="0"/>
                <w:sz w:val="20"/>
                <w:szCs w:val="20"/>
              </w:rPr>
              <w:t>.</w:t>
            </w:r>
          </w:p>
          <w:p w14:paraId="4DF73DC0" w14:textId="0B27DD8D" w:rsidR="003E6F3E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66B">
              <w:rPr>
                <w:rFonts w:ascii="Times New Roman" w:hAnsi="Times New Roman" w:cs="Times New Roman"/>
                <w:bCs/>
                <w:sz w:val="20"/>
                <w:szCs w:val="20"/>
              </w:rPr>
              <w:t>На сегодняшний день гарантирование осуществляется в рамках действующих программ АО «ФРП «Даму». Формулировка актуализирована и сохраняет возможность поддержки новых проектов субъектов СМСП.</w:t>
            </w:r>
          </w:p>
        </w:tc>
      </w:tr>
      <w:tr w:rsidR="003E6F3E" w:rsidRPr="000841A8" w14:paraId="0B1A5414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34FE5A37" w14:textId="6CD5461D" w:rsidR="003E6F3E" w:rsidRPr="00421450" w:rsidRDefault="003E6F3E" w:rsidP="003E6F3E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4</w:t>
            </w:r>
            <w:r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795317CA" w14:textId="77777777" w:rsidR="003E6F3E" w:rsidRPr="00421450" w:rsidRDefault="003E6F3E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часть четвертая </w:t>
            </w:r>
          </w:p>
          <w:p w14:paraId="1CD7C793" w14:textId="3774E8B4" w:rsidR="003E6F3E" w:rsidRPr="00421450" w:rsidRDefault="003E6F3E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раздела 7 «Мониторинг»</w:t>
            </w:r>
          </w:p>
        </w:tc>
        <w:tc>
          <w:tcPr>
            <w:tcW w:w="4500" w:type="dxa"/>
          </w:tcPr>
          <w:p w14:paraId="1D1012D8" w14:textId="0CFBC6FD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БВУ на регулярной основе будут направлять в АО «ФРП «Даму» отчет об освоении средств, форма и сроки представления отчета отражаются в соответствующем кредитном соглашении. Данную информацию АО «ФРП «Даму» представляет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контролю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Национального фонда Республики Казахстан,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распоряжением Президента Республики Казахстан от 18 апреля 2014 года № 281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Комиссия), и АО «НУХ «Байтерек».</w:t>
            </w:r>
          </w:p>
        </w:tc>
        <w:tc>
          <w:tcPr>
            <w:tcW w:w="4500" w:type="dxa"/>
          </w:tcPr>
          <w:p w14:paraId="0CAFA40A" w14:textId="7ECF6C98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БВУ на регулярной основе будут направлять в АО «ФРП «Даму» отчет об освоении средств, форма и сроки представления отчета отражаются в соответствующем кредитном соглашении. Данную информацию АО «ФРП «Даму» представляет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мониторингу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Национального фонда Республики Казахстан,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Указом Президента Республики Казахстан от 19 мая 2025 года № 879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Комиссия), и АО «Н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Х «Байтерек».</w:t>
            </w:r>
          </w:p>
        </w:tc>
        <w:tc>
          <w:tcPr>
            <w:tcW w:w="3337" w:type="dxa"/>
          </w:tcPr>
          <w:p w14:paraId="4934D69E" w14:textId="76E5ECB3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утратой силы распоряжения Президента Республики Казахстан от 18 апреля 2014 года № 281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«О Комиссии по мониторингу за расходованием средств, выделенных из Национального фонда Республики Казахстан»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и принятия нового Указа Президента Республики Казахстан от 19 мая 2025 года № 879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65729C">
              <w:rPr>
                <w:rFonts w:ascii="Times New Roman" w:hAnsi="Times New Roman" w:cs="Times New Roman"/>
                <w:bCs/>
                <w:sz w:val="20"/>
                <w:szCs w:val="20"/>
                <w:lang w:val="ru-KZ"/>
              </w:rPr>
              <w:t>О Комиссии по мониторингу за расходованием средств, выделенных из Национального фонда Республики Казахстан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E6F3E" w:rsidRPr="000841A8" w14:paraId="0F45B07E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0315112E" w14:textId="437A0935" w:rsidR="003E6F3E" w:rsidRPr="00421450" w:rsidRDefault="00633AAB" w:rsidP="003E6F3E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5</w:t>
            </w:r>
            <w:r w:rsidR="003E6F3E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5A40D43F" w14:textId="21C04732" w:rsidR="003E6F3E" w:rsidRPr="00421450" w:rsidRDefault="003E6F3E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приложение 1–1</w:t>
            </w:r>
          </w:p>
        </w:tc>
        <w:tc>
          <w:tcPr>
            <w:tcW w:w="4500" w:type="dxa"/>
          </w:tcPr>
          <w:p w14:paraId="6DBED25E" w14:textId="7861939A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left="12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 1–1</w:t>
            </w:r>
          </w:p>
          <w:p w14:paraId="4C99630C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left="12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 Плану совместных действий Правительства Республики Казахстан и Национального Банка Республики Казахстан по обеспечению</w:t>
            </w:r>
          </w:p>
          <w:p w14:paraId="3379A9CA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left="12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финансирования проектов малого и среднего предпринимательства в обрабатывающей</w:t>
            </w:r>
          </w:p>
          <w:p w14:paraId="5D736979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left="12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промышленности</w:t>
            </w:r>
          </w:p>
          <w:p w14:paraId="2FA21E8D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firstLine="18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7AC7A8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ind w:firstLine="18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сфер пищевой промышленности для финансирования</w:t>
            </w:r>
          </w:p>
          <w:tbl>
            <w:tblPr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7"/>
              <w:gridCol w:w="3223"/>
              <w:gridCol w:w="630"/>
            </w:tblGrid>
            <w:tr w:rsidR="003E6F3E" w:rsidRPr="00421450" w14:paraId="0F7F946F" w14:textId="77777777" w:rsidTr="007A11F5">
              <w:tc>
                <w:tcPr>
                  <w:tcW w:w="602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4A8053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36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29D994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Наименование кода ОКЭД</w:t>
                  </w:r>
                </w:p>
              </w:tc>
              <w:tc>
                <w:tcPr>
                  <w:tcW w:w="7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8CCC20" w14:textId="77777777" w:rsidR="003E6F3E" w:rsidRPr="00421450" w:rsidRDefault="00BC65EC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hyperlink r:id="rId7" w:history="1">
                    <w:r w:rsidR="003E6F3E" w:rsidRPr="00421450">
                      <w:rPr>
                        <w:rStyle w:val="a4"/>
                        <w:b/>
                        <w:color w:val="auto"/>
                        <w:sz w:val="18"/>
                        <w:szCs w:val="18"/>
                        <w:u w:val="none"/>
                      </w:rPr>
                      <w:t>Код ОКЭД</w:t>
                    </w:r>
                  </w:hyperlink>
                </w:p>
              </w:tc>
            </w:tr>
            <w:tr w:rsidR="003E6F3E" w:rsidRPr="00421450" w14:paraId="313E8516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6E31A1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72B606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BDB110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 w:rsidR="003E6F3E" w:rsidRPr="00421450" w14:paraId="71E75BC4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846167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99800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Переработка и консервирование мяса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D1CE63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1011</w:t>
                  </w:r>
                </w:p>
              </w:tc>
            </w:tr>
            <w:tr w:rsidR="003E6F3E" w:rsidRPr="00421450" w14:paraId="1DBCE1C4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B86A0F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C9A50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Переработка и консервирование мяса сельскохозяйственной птицы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CCE6BF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1012</w:t>
                  </w:r>
                </w:p>
              </w:tc>
            </w:tr>
            <w:tr w:rsidR="003E6F3E" w:rsidRPr="00421450" w14:paraId="77ADC66B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2DCE67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543A14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продуктов из мяса и мяса сельскохозяйственной птицы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450A6C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1013</w:t>
                  </w:r>
                </w:p>
              </w:tc>
            </w:tr>
            <w:tr w:rsidR="003E6F3E" w:rsidRPr="00421450" w14:paraId="4A6B19C9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A1FA5E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0EDFF6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Переработка и консервирование рыбы, ракообразных и моллюсков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B2A4D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1020</w:t>
                  </w:r>
                </w:p>
              </w:tc>
            </w:tr>
            <w:tr w:rsidR="003E6F3E" w:rsidRPr="00421450" w14:paraId="3C0B1804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C8FEBA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E0DCB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Переработка и консервирование картофеля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804CB3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1031</w:t>
                  </w:r>
                </w:p>
              </w:tc>
            </w:tr>
            <w:tr w:rsidR="003E6F3E" w:rsidRPr="00421450" w14:paraId="28F7995B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A512A5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C8F878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фруктовых и овощных соков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F0D3BB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1032</w:t>
                  </w:r>
                </w:p>
              </w:tc>
            </w:tr>
            <w:tr w:rsidR="003E6F3E" w:rsidRPr="00421450" w14:paraId="6133A3DB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C30B87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9E213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Прочие виды переработки и консервирования фруктов и овощей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6D3FC2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1039</w:t>
                  </w:r>
                </w:p>
              </w:tc>
            </w:tr>
            <w:tr w:rsidR="003E6F3E" w:rsidRPr="00421450" w14:paraId="7A4234CE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21F31C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7837E3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масел и жиров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04DA93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1041</w:t>
                  </w:r>
                </w:p>
              </w:tc>
            </w:tr>
            <w:tr w:rsidR="003E6F3E" w:rsidRPr="00421450" w14:paraId="52C9AF68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F0C942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65BDB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маргарина и аналогичных пищевых жиров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2C2664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1042</w:t>
                  </w:r>
                </w:p>
              </w:tc>
            </w:tr>
            <w:tr w:rsidR="003E6F3E" w:rsidRPr="00421450" w14:paraId="5D1ED427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5B03E5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B13D3D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Переработка молока и производство сыров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8706DB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1051</w:t>
                  </w:r>
                </w:p>
              </w:tc>
            </w:tr>
            <w:tr w:rsidR="003E6F3E" w:rsidRPr="00421450" w14:paraId="2FC10825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BDB8C9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66979D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мороженого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D33C66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1052</w:t>
                  </w:r>
                </w:p>
              </w:tc>
            </w:tr>
            <w:tr w:rsidR="003E6F3E" w:rsidRPr="00421450" w14:paraId="3DD0FE02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624D48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3B94D4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мукомольно-крупяных продуктов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C9626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1061</w:t>
                  </w:r>
                </w:p>
              </w:tc>
            </w:tr>
            <w:tr w:rsidR="003E6F3E" w:rsidRPr="00421450" w14:paraId="1AD9BC51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AD5E7B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0E60A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крахмала и продукции из крахмала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9F144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1062</w:t>
                  </w:r>
                </w:p>
              </w:tc>
            </w:tr>
            <w:tr w:rsidR="003E6F3E" w:rsidRPr="00421450" w14:paraId="07A7D6C3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1A1EB5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18D0D5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хлебобулочных и мучных кондитерских изделий недлительного хранения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10555E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1071</w:t>
                  </w:r>
                </w:p>
              </w:tc>
            </w:tr>
            <w:tr w:rsidR="003E6F3E" w:rsidRPr="00421450" w14:paraId="39EC7FA9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E6A1A0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D3461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сухарей и печенья, мучных кондитерских изделий длительного хранения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351828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1072</w:t>
                  </w:r>
                </w:p>
              </w:tc>
            </w:tr>
            <w:tr w:rsidR="003E6F3E" w:rsidRPr="00421450" w14:paraId="75D0CA0B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EA5B06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B2CCD8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макаронных изделий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69683D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1073</w:t>
                  </w:r>
                </w:p>
              </w:tc>
            </w:tr>
            <w:tr w:rsidR="003E6F3E" w:rsidRPr="00421450" w14:paraId="755D62C5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E3F8B0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C858F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сахара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0A048D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1081</w:t>
                  </w:r>
                </w:p>
              </w:tc>
            </w:tr>
            <w:tr w:rsidR="003E6F3E" w:rsidRPr="00421450" w14:paraId="10CE462E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A31FB2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03BA84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какао, шоколада и сахаристых кондитерских изделий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174566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1082</w:t>
                  </w:r>
                </w:p>
              </w:tc>
            </w:tr>
            <w:tr w:rsidR="003E6F3E" w:rsidRPr="00421450" w14:paraId="07FB15B2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670A4F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034A00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чая и кофе*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3A988C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1083</w:t>
                  </w:r>
                </w:p>
              </w:tc>
            </w:tr>
            <w:tr w:rsidR="003E6F3E" w:rsidRPr="00421450" w14:paraId="79AAA61C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7BF12E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E04F4D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пряностей и приправ*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4EEB6F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1084</w:t>
                  </w:r>
                </w:p>
              </w:tc>
            </w:tr>
            <w:tr w:rsidR="003E6F3E" w:rsidRPr="00421450" w14:paraId="24F85485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B3877F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61C86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готовых пищевых продуктов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52439B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1085</w:t>
                  </w:r>
                </w:p>
              </w:tc>
            </w:tr>
            <w:tr w:rsidR="003E6F3E" w:rsidRPr="00421450" w14:paraId="78420148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CF4988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44D0BA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детского питания и диетических пищевых продуктов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08661B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1086</w:t>
                  </w:r>
                </w:p>
              </w:tc>
            </w:tr>
            <w:tr w:rsidR="003E6F3E" w:rsidRPr="00421450" w14:paraId="654D2060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382171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67B04F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прочих продуктов питания, не включенных в другие группировки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E3B2BF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1089</w:t>
                  </w:r>
                </w:p>
              </w:tc>
            </w:tr>
            <w:tr w:rsidR="003E6F3E" w:rsidRPr="00421450" w14:paraId="55DA6F07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DFFEA8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394F91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готовых кормов для сельскохозяйственных животных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AE5407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1091</w:t>
                  </w:r>
                </w:p>
              </w:tc>
            </w:tr>
            <w:tr w:rsidR="003E6F3E" w:rsidRPr="00421450" w14:paraId="60A6BFBB" w14:textId="77777777" w:rsidTr="007A11F5">
              <w:tc>
                <w:tcPr>
                  <w:tcW w:w="60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E23B42" w14:textId="77777777" w:rsidR="003E6F3E" w:rsidRPr="00421450" w:rsidRDefault="003E6F3E" w:rsidP="003E6F3E">
                  <w:pPr>
                    <w:pStyle w:val="pc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6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081309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Производство готовых кормов для домашних животных</w:t>
                  </w:r>
                </w:p>
              </w:tc>
              <w:tc>
                <w:tcPr>
                  <w:tcW w:w="7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CF4C16" w14:textId="77777777" w:rsidR="003E6F3E" w:rsidRPr="00421450" w:rsidRDefault="003E6F3E" w:rsidP="003E6F3E">
                  <w:pPr>
                    <w:pStyle w:val="a8"/>
                    <w:tabs>
                      <w:tab w:val="left" w:pos="4390"/>
                    </w:tabs>
                    <w:rPr>
                      <w:b/>
                      <w:sz w:val="18"/>
                      <w:szCs w:val="18"/>
                    </w:rPr>
                  </w:pPr>
                  <w:r w:rsidRPr="00421450">
                    <w:rPr>
                      <w:rStyle w:val="s0"/>
                      <w:b/>
                      <w:sz w:val="18"/>
                      <w:szCs w:val="18"/>
                    </w:rPr>
                    <w:t>1092</w:t>
                  </w:r>
                </w:p>
              </w:tc>
            </w:tr>
          </w:tbl>
          <w:p w14:paraId="041B5A1F" w14:textId="77777777" w:rsidR="003E6F3E" w:rsidRPr="00421450" w:rsidRDefault="003E6F3E" w:rsidP="003E6F3E">
            <w:pPr>
              <w:shd w:val="clear" w:color="auto" w:fill="FFFFFF" w:themeFill="background1"/>
              <w:tabs>
                <w:tab w:val="left" w:pos="439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5D0A97" w14:textId="19BD74B3" w:rsidR="003E6F3E" w:rsidRPr="00421450" w:rsidRDefault="003E6F3E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Исключить</w:t>
            </w:r>
          </w:p>
        </w:tc>
        <w:tc>
          <w:tcPr>
            <w:tcW w:w="3337" w:type="dxa"/>
          </w:tcPr>
          <w:p w14:paraId="146C0698" w14:textId="58665A6D" w:rsidR="003E6F3E" w:rsidRPr="00F103E6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1 Сравнительной таблицы.</w:t>
            </w:r>
          </w:p>
        </w:tc>
      </w:tr>
      <w:tr w:rsidR="003E6F3E" w:rsidRPr="000841A8" w14:paraId="799A504A" w14:textId="77777777" w:rsidTr="009D272A">
        <w:trPr>
          <w:gridAfter w:val="1"/>
          <w:wAfter w:w="7" w:type="dxa"/>
          <w:trHeight w:val="653"/>
        </w:trPr>
        <w:tc>
          <w:tcPr>
            <w:tcW w:w="15127" w:type="dxa"/>
            <w:gridSpan w:val="5"/>
          </w:tcPr>
          <w:p w14:paraId="076E60FC" w14:textId="0E821A23" w:rsidR="003E6F3E" w:rsidRPr="00421450" w:rsidRDefault="003E6F3E" w:rsidP="003E6F3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постановление Правительства Республики Казахстан от 5 декабря 2014 года № 1276 «Об утверждении Плана совместных действий                                   Правительства Республики Казахстан и Национального Банка Республики Казахстан по обеспечению финансирования</w:t>
            </w:r>
          </w:p>
          <w:p w14:paraId="423EADB2" w14:textId="31E3B39D" w:rsidR="003E6F3E" w:rsidRPr="00421450" w:rsidRDefault="003E6F3E" w:rsidP="003E6F3E">
            <w:pPr>
              <w:shd w:val="clear" w:color="auto" w:fill="FFFFFF" w:themeFill="background1"/>
              <w:ind w:left="36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субъектов предпринимательства в обрабатывающей промышленности»</w:t>
            </w:r>
          </w:p>
        </w:tc>
      </w:tr>
      <w:tr w:rsidR="003E6F3E" w:rsidRPr="000841A8" w14:paraId="45E4718F" w14:textId="77777777" w:rsidTr="009D272A">
        <w:trPr>
          <w:gridAfter w:val="1"/>
          <w:wAfter w:w="7" w:type="dxa"/>
          <w:trHeight w:val="462"/>
        </w:trPr>
        <w:tc>
          <w:tcPr>
            <w:tcW w:w="15127" w:type="dxa"/>
            <w:gridSpan w:val="5"/>
          </w:tcPr>
          <w:p w14:paraId="248CC4C7" w14:textId="46EF6847" w:rsidR="003E6F3E" w:rsidRPr="00421450" w:rsidRDefault="003E6F3E" w:rsidP="003E6F3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План совместных действий Правительства Республики Казахстан и Национального Банка Республики Казахстан </w:t>
            </w:r>
          </w:p>
          <w:p w14:paraId="7A987599" w14:textId="76CBA2BD" w:rsidR="003E6F3E" w:rsidRPr="00421450" w:rsidRDefault="003E6F3E" w:rsidP="003E6F3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обеспечению финансирования субъектов предпринимательства в обрабатывающей промышленности</w:t>
            </w:r>
          </w:p>
        </w:tc>
      </w:tr>
      <w:tr w:rsidR="003E6F3E" w:rsidRPr="000841A8" w14:paraId="19376012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49A6F1CB" w14:textId="544162DA" w:rsidR="003E6F3E" w:rsidRPr="00421450" w:rsidRDefault="00633AAB" w:rsidP="003E6F3E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6.</w:t>
            </w:r>
          </w:p>
        </w:tc>
        <w:tc>
          <w:tcPr>
            <w:tcW w:w="2250" w:type="dxa"/>
          </w:tcPr>
          <w:p w14:paraId="2496CD7E" w14:textId="30F23ABA" w:rsidR="003E6F3E" w:rsidRPr="00421450" w:rsidRDefault="00633AAB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одраздел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«Условия и механизмы обусловленного размещения средств в банках второго уровня»</w:t>
            </w:r>
          </w:p>
        </w:tc>
        <w:tc>
          <w:tcPr>
            <w:tcW w:w="4500" w:type="dxa"/>
          </w:tcPr>
          <w:p w14:paraId="3C71A2C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Условия и механизмы обусловленного размещения средств в банках второго уровня</w:t>
            </w:r>
          </w:p>
          <w:p w14:paraId="0593A7E2" w14:textId="6263F3A6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1. Государственная комиссия по вопросам модернизации экономики Республики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Казахстан (далее – Госкомиссия) одобряет перечень БВУ и суммы лимитов на них 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первому и второму направлениям.</w:t>
            </w:r>
          </w:p>
          <w:p w14:paraId="2B4809C2" w14:textId="44ED7612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2.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 открывают отдельные банковские счета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НБРК для проведения платежей из средств, выделяемых из НФ РК в рамках реализации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настоящего Плана.</w:t>
            </w:r>
          </w:p>
          <w:p w14:paraId="2CF9B0C7" w14:textId="108A6944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НУХ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Байтерек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разместит на отдельном банковском счете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НБРК сумму средств в соответствии с условиями заключенных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кредитного договора и договора займа.</w:t>
            </w:r>
          </w:p>
          <w:p w14:paraId="4463898D" w14:textId="59E248AC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4.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заключает кредитные соглашения с БВУ в соответствии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гражданским законодательством Республики Казахстан на следующих условиях:</w:t>
            </w:r>
          </w:p>
          <w:p w14:paraId="6828A0A6" w14:textId="0F968579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1) размещение кредитных средств на отдельных банковских счетах БВУ в НБРК без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обеспечения в пределах лимитов, одобренных Госкомиссией;</w:t>
            </w:r>
          </w:p>
          <w:p w14:paraId="79A7E408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2) ставка вознаграждения – не более 2% годовых;</w:t>
            </w:r>
          </w:p>
          <w:p w14:paraId="38E3FE0B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3) срок кредитования БВУ – до 20 лет;</w:t>
            </w:r>
          </w:p>
          <w:p w14:paraId="1D95BEA5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4) срок освоения БВУ кредитных средств с даты поступления средств на счет БВУ:</w:t>
            </w:r>
          </w:p>
          <w:p w14:paraId="14BF80D5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 месяцев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кредитам, выдаваемым на инвестиционные цели;</w:t>
            </w:r>
          </w:p>
          <w:p w14:paraId="11BE2A66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месяцев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кредитам, выдаваемым на цели пополнения оборотных средств;</w:t>
            </w:r>
          </w:p>
          <w:p w14:paraId="476D355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5) валюта кредитования БВУ – тенге;</w:t>
            </w:r>
          </w:p>
          <w:p w14:paraId="65682D1A" w14:textId="3CEAB93C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6) для БВУ разница между ставкой привлечения средств от АО «ФРП «Даму» и ставкой кредитования СМСП не должна превышать 4,0 % годовых;</w:t>
            </w:r>
          </w:p>
          <w:p w14:paraId="68972B50" w14:textId="10253FEE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7) в рамках кредитного соглашения, заключенного между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БВУ:</w:t>
            </w:r>
          </w:p>
          <w:p w14:paraId="67AA312B" w14:textId="18D23B43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50 % от лимита на БВУ, одобренных Госкомиссией, составляет доля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займов, направляемых БВУ на цели финансирования инвестиционных проектов СМСП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в обрабатывающей промышленности и сфере услуг, относящихся к обслуживанию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обрабатывающей промышленности, в соответствии с приложением 1 к Плану;</w:t>
            </w:r>
          </w:p>
          <w:p w14:paraId="1E14EEE4" w14:textId="00DBA6A2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более 50 % от лимита на БВУ, одобренных Госкомиссией, составляет доля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займов, направляемых БВУ на цели пополнения оборотных средств СМСП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обрабатывающей промышленности, в соответствии с приложением 1 к Плану,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не менее 25 % от лимита на БВУ направляется на цели пополнения оборотных средств СМСП, реализующих проекты в пищевой промышленности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B3FDD66" w14:textId="628EF248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33FDD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33FDD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этом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оборотные средства не предоставляются СМСП, реализующим проекты в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фере услуг, относящихся к обрабатывающей промышленности, в соответствии с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приложением 1 к Плану.</w:t>
            </w:r>
          </w:p>
          <w:p w14:paraId="7C470DC7" w14:textId="1DCBACBD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2019 года 25 млрд. тенге за счет возвратных средств от финансирования СМСП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будут направлены на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финансирование экспортоориентированных проектов на револьверной основе до конца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срока обращения средств Национального фонда.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финансирование – финансирование проекта СМСП на пополнение оборотных средств,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связанных с производством и реализацией продукции на экспорт. Финансирование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экспортоориентированных проектов – предоставление средств СМСП на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инвестиционных затрат с целью последующего производства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продукции для экспорта.</w:t>
            </w:r>
          </w:p>
          <w:p w14:paraId="0FEBDC82" w14:textId="286F971E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Соблюдение пропорций, предусмотренных подпунктом 7) пункта 4, не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распространяется на вторичное размещение средств БВУ.</w:t>
            </w:r>
          </w:p>
          <w:p w14:paraId="034DD14C" w14:textId="0C859FB0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5.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заключает договора банковского займа с БВУ в соответствии с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гражданским законодательством Республики Казахстан на следующих условиях:</w:t>
            </w:r>
          </w:p>
          <w:p w14:paraId="01D9E393" w14:textId="1FB32B05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1) размещение кредитных средств на отдельных банковских счетах БВУ в НБРК без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обеспечения в пределах лимитов, одобренных Госкомиссией;</w:t>
            </w:r>
          </w:p>
          <w:p w14:paraId="1EFC2D3C" w14:textId="55FB2B26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2) ставка вознаграждения – не более 2% годовых;</w:t>
            </w:r>
          </w:p>
          <w:p w14:paraId="4B601E6E" w14:textId="5E614E06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3) срок кредитования БВУ – до 20 лет;</w:t>
            </w:r>
          </w:p>
          <w:p w14:paraId="577C08B8" w14:textId="677DC0FB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4) срок освоения БВУ кредитных средств – 18 месяцев с даты поступления средств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на счет БВУ,</w:t>
            </w:r>
          </w:p>
          <w:p w14:paraId="4C6761F2" w14:textId="1662CDCC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5) валюта кредитования БВУ – тенге;</w:t>
            </w:r>
          </w:p>
          <w:p w14:paraId="74BB73EC" w14:textId="7D3FDF34" w:rsidR="00633AAB" w:rsidRPr="00333FDD" w:rsidRDefault="00633AAB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6) для БВУ разница между ставкой привлечения средств от АО </w:t>
            </w:r>
            <w:r w:rsidR="00333FDD"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БРК</w:t>
            </w:r>
            <w:r w:rsidR="00333FDD"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ставкой</w:t>
            </w:r>
            <w:r w:rsidR="00333FDD"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кредитования субъектов СКП не должна превышать 4,0 % годовых;</w:t>
            </w:r>
          </w:p>
          <w:p w14:paraId="7E57C2F4" w14:textId="62EDC2C8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7) в рамках договора банковского займа, заключенного между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БВУ:</w:t>
            </w:r>
          </w:p>
          <w:p w14:paraId="2B2D6812" w14:textId="0BBF84A0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100% от лимита на БВУ, одобренных Госкомиссией, составляет доля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займов, направляемых БВУ на цели финансирования инвестиционных проектов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конечных заемщиков в обрабатывающей промышленности в соответствии с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приложением 2 к Плану.</w:t>
            </w:r>
          </w:p>
          <w:p w14:paraId="3EE46DDB" w14:textId="36EDED62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6. БВУ отчитываются перед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целевому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использованию и освоению размещенных кредитных средств.</w:t>
            </w:r>
          </w:p>
          <w:p w14:paraId="4D06CC3D" w14:textId="10C3573C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Порядок, форма и периодичность представления отчетов БВУ, а также иные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предоставления кредитов БВУ, в том числе: установление ковенантов для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определения наличия экспортной выручки, не предусмотренные настоящим Планом,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устанавливаются соответствующим кредитным соглашением, договором банковского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займа. При отборе для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предэкспортного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/экспортного финансирования и/или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финансирования экспортоориентированных проектов приоритет должен отдаваться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проектам, обеспечивающим ежегодный рост экспортной выручки не менее 5 % после 1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(одного) финансового года с даты начала финансирования такого проекта. Допускается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 финансирование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экспортоориентированных проектов, обеспечивающих сохранение объемов экспортной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выручки СМСП на уровне среднегодового объема экспортной выручки за предыдущие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2 (два) года, до принятия решения о финансировании такого проекта.</w:t>
            </w:r>
          </w:p>
          <w:p w14:paraId="5925E0CA" w14:textId="4C3CD746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 запрещается направлять выделяемые средства на цели рефинансирования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действующих кредитов, инвестирования в финансовые инструменты и (или) операции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с ними, а также на валютный рынок для покупки иностранной валюты.</w:t>
            </w:r>
          </w:p>
          <w:p w14:paraId="7FDC8EBB" w14:textId="213E2E6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 на ежемесячной основе осуществляют зачисление средств, высвободившихся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 счет погашения ранее выданных займов СМСП, на свои отдельные банковские счета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в НБРК. При этом БВУ в течение трех месяцев направляют их на дальнейшее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кредитование СМСП либо досрочно возвращают на отдельные банковские счета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у»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НБРК.</w:t>
            </w:r>
          </w:p>
          <w:p w14:paraId="57065F1B" w14:textId="026874AD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 на ежемесячной основе осуществляют зачисление средств, высвободившихся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 счет погашения ранее выданных займов СКП, на свои отдельные банковские счета в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НБРК. При этом БВУ в течение срока, установленного договорами банковского займа,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заключенными между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и БВУ, направляют их на дальнейшее кредитование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СКП. В случае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неразмещения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средств в сроки, указанные в договорах банковского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займа,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вправе потребовать от БВУ досрочного погашения неразмещенной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части средств.</w:t>
            </w:r>
          </w:p>
          <w:p w14:paraId="507F93CA" w14:textId="15DA6B7E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Годовая эффективная ставка вознаграждения в рамках финансирования проектов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СМСП и СКП определяется в соответствии с требованиями НБРК.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Комиссии, сборы и/или иные платежи, связанные с займом субъекта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предпринимательства, не взимаются, за исключением комиссий, сборов и/или иных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платежей, взимаемых по причине нарушения субъектами предпринимательства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обязательств по займу.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СМСП и СКП оплачивают расходы по оценке и страхованию имущества.</w:t>
            </w:r>
          </w:p>
          <w:p w14:paraId="23BFA47F" w14:textId="6E8C143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8. В случаях нецелевого использования, полного или частичного </w:t>
            </w:r>
            <w:proofErr w:type="spellStart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неосвоения</w:t>
            </w:r>
            <w:proofErr w:type="spellEnd"/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размещаемых средств, а также при наступлении иных случаев, предусмотренных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кредитным соглашением или договором банковского займа,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АО 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применяют в отношении БВУ меры согласно условиям кредитного соглашения,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 банковского займа, в том числе вправе инициировать вопрос досрочного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расторжения кредитных соглашений, договора банковского займа и/или отзыва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размещенных средств с дальнейшим их перераспределением среди других БВУ, и/или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уступки портфеля БВУ (прав (требований) к СМСП/СКП по договорам банковского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займа). Перераспределение отозванных, досрочно погашенных БВУ средств, а также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уступка портфеля БВУ (прав (требований) к СМСП/СКП по договорам банковского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займа) другому БВУ осуществляются среди БВУ на основании соответствующего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решения Госкомиссии.</w:t>
            </w:r>
          </w:p>
          <w:p w14:paraId="48561EF5" w14:textId="1F6A86E9" w:rsidR="003E6F3E" w:rsidRPr="00421450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633AAB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. Условия, указанные в пункте 2, подпунктах 6) и 7) пункта 4, подпунктах 6) и 7)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33AAB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пункта 5, пунктах 6, 7 и 8 настоящего подраздела, не распространяются на займы,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33AAB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выданные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="00633AAB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633AAB" w:rsidRPr="00633AA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39A05D9A" w14:textId="5771A8CF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Условия и механизмы обусловленного размещения средств в банках второго уровня</w:t>
            </w:r>
          </w:p>
          <w:p w14:paraId="5833B2E3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1. Государственная комиссия по вопросам модернизации экономики Республики Казахстан (далее – Госкомиссия) одобряет перечень БВУ и суммы лимитов на них по первому и второму направлениям.</w:t>
            </w:r>
          </w:p>
          <w:p w14:paraId="5262956A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2. АО «ФРП «Даму», АО «БРК» и БВУ открывают отдельные банковские счета в НБРК для проведения платежей из средств, выделяемых из НФ РК в рамках реализации настоящего Плана.</w:t>
            </w:r>
          </w:p>
          <w:p w14:paraId="2B0AF361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3. АО «НУХ «Байтерек» разместит на отдельном банковском счете АО «ФРП «Даму» и АО «БРК» в НБРК сумму средств в соответствии с условиями заключенных кредитного договора и договора займа.</w:t>
            </w:r>
          </w:p>
          <w:p w14:paraId="5E278AFB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4. АО «ФРП «Даму» заключает кредитные соглашения с БВУ в соответствии с гражданским законодательством Республики Казахстан на следующих условиях:</w:t>
            </w:r>
          </w:p>
          <w:p w14:paraId="2E0BA89C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1) размещение кредитных средств на отдельных банковских счетах БВУ в НБРК без обеспечения в пределах лимитов, одобренных Госкомиссией;</w:t>
            </w:r>
          </w:p>
          <w:p w14:paraId="105031F4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2) ставка вознаграждения – не более 2% годовых;</w:t>
            </w:r>
          </w:p>
          <w:p w14:paraId="6F9929D7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3) срок кредитования БВУ – до 20 лет;</w:t>
            </w:r>
          </w:p>
          <w:p w14:paraId="61E712E4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4) срок освоения БВУ кредитных средств с даты поступления средств на счет БВУ:</w:t>
            </w:r>
          </w:p>
          <w:p w14:paraId="78CCA358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 месяца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по кредитам, выдаваемым на инвестиционные цели;</w:t>
            </w:r>
          </w:p>
          <w:p w14:paraId="5DA36419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 месяца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по кредитам, выдаваемым на цели пополнения оборотных средств;</w:t>
            </w:r>
          </w:p>
          <w:p w14:paraId="6043FA1B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5) валюта кредитования БВУ – тенге;</w:t>
            </w:r>
          </w:p>
          <w:p w14:paraId="561E76B2" w14:textId="77777777" w:rsid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6) в рамках кредитного соглашения, заключенного между АО «ФРП «Даму» и БВУ:</w:t>
            </w:r>
          </w:p>
          <w:p w14:paraId="2ADED4A5" w14:textId="001238EC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не менее 50 % от лимита на БВУ, одобренных Госкомиссией, составляет доля займов, направляемых БВУ на цели финансирования инвестиционных проектов СМСП в обрабатывающей промышленности и сфере услуг, относящихся к обслуживанию обрабатывающей промышленности, в соответствии с приложением 1 к Плану;</w:t>
            </w:r>
          </w:p>
          <w:p w14:paraId="63945FE5" w14:textId="3B427A11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не более 50 % от лимита на БВУ, одобренных Госкомиссией, составляет доля займов, направляемых БВУ на цели пополнения оборотных средств СМСП в обрабатывающей промышленности, в соответствии с приложением 1 к Плану.</w:t>
            </w:r>
          </w:p>
          <w:p w14:paraId="4E2FC05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При этом, оборотные средства не предоставляются СМСП, реализующим проекты в сфере услуг, относящихся к обрабатывающей промышленности, в соответствии с приложением 1 к Плану.</w:t>
            </w:r>
          </w:p>
          <w:p w14:paraId="18F19B06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 2019 года 25 млрд. тенге за счет возвратных средств от финансирования СМСП будут направлены на предэкспортное/экспортное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 Предэкспортное/экспортное финансирование – финансирование проекта СМСП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СМСП на осуществление инвестиционных затрат с целью последующего производства продукции для экспорта.</w:t>
            </w:r>
          </w:p>
          <w:p w14:paraId="07D5067B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Соблюдение пропорций, предусмотренных подпунктом 7) пункта 4, не распространяется на вторичное размещение средств БВУ.</w:t>
            </w:r>
          </w:p>
          <w:p w14:paraId="1266533C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5. АО «БРК» заключает договора банковского займа с БВУ в соответствии с гражданским законодательством Республики Казахстан на следующих условиях:</w:t>
            </w:r>
          </w:p>
          <w:p w14:paraId="7A93E143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1) размещение кредитных средств на отдельных банковских счетах БВУ в НБРК без обеспечения в пределах лимитов, одобренных Госкомиссией;</w:t>
            </w:r>
          </w:p>
          <w:p w14:paraId="1635B796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2) ставка вознаграждения – не более 2% годовых;</w:t>
            </w:r>
          </w:p>
          <w:p w14:paraId="25D0ACDE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3) срок кредитования БВУ – до 20 лет;</w:t>
            </w:r>
          </w:p>
          <w:p w14:paraId="51847D0A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4) срок освоения БВУ кредитных средств – 18 месяцев с даты поступления средств на счет БВУ,</w:t>
            </w:r>
          </w:p>
          <w:p w14:paraId="62BDD1E8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5) валюта кредитования БВУ – тенге;</w:t>
            </w:r>
          </w:p>
          <w:p w14:paraId="2755C85B" w14:textId="4CCEFB9D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6) в рамках договора банковского займа, заключенного между</w:t>
            </w:r>
            <w:r w:rsid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АО «БРК» и БВУ:</w:t>
            </w:r>
          </w:p>
          <w:p w14:paraId="20F419BC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не менее 100% от лимита на БВУ, одобренных Госкомиссией, составляет доля займов, направляемых БВУ на цели финансирования инвестиционных проектов конечных заемщиков в обрабатывающей промышленности в соответствии с приложением 2 к Плану.</w:t>
            </w:r>
          </w:p>
          <w:p w14:paraId="4F8C107F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6. БВУ отчитываются перед АО «ФРП «Даму» и АО «БРК» по целевому использованию и освоению размещенных кредитных средств.</w:t>
            </w:r>
          </w:p>
          <w:p w14:paraId="4B61B1C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соглашением, договором банковского займа. При отборе для предэкспортного/экспортного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 не менее 5 % после 1 (одного) финансового года с даты начала финансирования такого проекта. Допускается предэкспортное/экспортное финансирование и/или финансирование экспортоориентированных проектов, обеспечивающих сохранение объемов экспортной выручки СМСП на уровне среднегодового объема экспортной выручки за предыдущие 2 (два) года, до принятия решения о финансировании такого проекта.</w:t>
            </w:r>
          </w:p>
          <w:p w14:paraId="7DECF5E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БВУ запрещается направлять выделяемые средства на цели рефинансирования действующих кредитов, инвестирования в финансовые инструменты и (или) операции с ними, а также на валютный рынок для покупки иностранной валюты.</w:t>
            </w:r>
          </w:p>
          <w:p w14:paraId="06A19E7F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БВУ на ежемесячной основе осуществляют зачисление средств, высвободившихся за счет погашения ранее выданных займов СМСП, на свои отдельные банковские счета в НБРК. При этом БВУ в течение трех месяцев направляют их на дальнейшее кредитование СМСП либо досрочно возвращают на отдельные банковские счета АО «ФРП «Даму» в НБРК.</w:t>
            </w:r>
          </w:p>
          <w:p w14:paraId="014A1507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БВУ на ежемесячной основе осуществляют зачисление средств, высвободившихся за счет погашения ранее выданных займов СКП, на свои отдельные банковские счета в НБРК. При этом БВУ в течение срока, установленного договорами банковского займа, заключенными между АО «БРК» и БВУ, направляют их на дальнейшее кредитование СКП. В случае неразмещения средств в сроки, указанные в договорах банковского займа, АО «БРК» вправе потребовать от БВУ досрочного погашения неразмещенной части средств.</w:t>
            </w:r>
          </w:p>
          <w:p w14:paraId="12156B70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7. Годовая эффективная ставка вознаграждения в рамках финансирования проектов СМСП и СКП определяется в соответствии с требованиями НБРК.</w:t>
            </w:r>
          </w:p>
          <w:p w14:paraId="5AC75C83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Комиссии, сборы и/или иные платежи, связанные с займом субъекта предпринимательства, не взимаются, за исключением комиссий, сборов и/или иных платежей, взимаемых по причине нарушения субъектами предпринимательства обязательств по займу.</w:t>
            </w:r>
          </w:p>
          <w:p w14:paraId="2D34F51B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СМСП и СКП оплачивают расходы по оценке и страхованию имущества.</w:t>
            </w:r>
          </w:p>
          <w:p w14:paraId="63ABD0FE" w14:textId="77777777" w:rsidR="00633AAB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8. В случаях нецелевого использования, полного или частичного неосвоения БВУ размещаемых средств, а также при наступлении иных случаев, предусмотренных кредитным соглашением или договором банковского займа, АО «ФРП «Даму», АО «БРК» применяют в отношении БВУ меры согласно условиям кредитного соглашения, договора банковского займа, в том числе вправе инициировать вопрос досрочного расторжения кредитных соглашений, договора банковского займа и/или отзыва размещенных средств с дальнейшим их перераспределением среди других БВУ, и/или уступки портфеля БВУ (прав (требований) к СМСП/СКП по договорам банковского займа). Перераспределение отозванных, досрочно погашенных БВУ средств, а также уступка портфеля БВУ (прав (требований) к СМСП/СКП по договорам банковского займа) другому БВУ осуществляются среди БВУ на основании соответствующего решения Госкомиссии.</w:t>
            </w:r>
          </w:p>
          <w:p w14:paraId="2AEE8215" w14:textId="517D855A" w:rsidR="003E6F3E" w:rsidRPr="00633AAB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A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9. Условия, указанные в пункте 2, подпунктах 6) и 7) пункта 4, подпунктах 6) и 7) пункта 5, пунктах 6, 7 и 8 настоящего подраздела, не распространяются на займы, выданные АО «Цеснабанк».</w:t>
            </w:r>
          </w:p>
        </w:tc>
        <w:tc>
          <w:tcPr>
            <w:tcW w:w="3337" w:type="dxa"/>
          </w:tcPr>
          <w:p w14:paraId="1B013ABF" w14:textId="2BD55D27" w:rsidR="003E6F3E" w:rsidRPr="00421450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1 Сравнительной таблицы.</w:t>
            </w:r>
          </w:p>
        </w:tc>
      </w:tr>
      <w:tr w:rsidR="00333FDD" w:rsidRPr="000841A8" w14:paraId="477604A2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75FACE0A" w14:textId="335D17D6" w:rsidR="00333FDD" w:rsidRDefault="00333FDD" w:rsidP="003E6F3E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7.</w:t>
            </w:r>
          </w:p>
        </w:tc>
        <w:tc>
          <w:tcPr>
            <w:tcW w:w="2250" w:type="dxa"/>
          </w:tcPr>
          <w:p w14:paraId="31BF59A8" w14:textId="3A3E8D23" w:rsidR="00333FDD" w:rsidRDefault="00333FDD" w:rsidP="003E6F3E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</w:t>
            </w:r>
            <w:r w:rsidR="000E481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sz w:val="20"/>
                <w:szCs w:val="20"/>
              </w:rPr>
              <w:t>Условия финансирования субъектов малого и среднего предпринимательства в обрабатывающей промышленности</w:t>
            </w:r>
            <w:r w:rsidR="000E481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500" w:type="dxa"/>
          </w:tcPr>
          <w:p w14:paraId="0E91FC2C" w14:textId="0B662A9A" w:rsidR="000E4816" w:rsidRDefault="000E4816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sz w:val="20"/>
                <w:szCs w:val="20"/>
              </w:rPr>
              <w:t>Условия финансирования субъектов малого и среднего предпринимательства в обрабатывающей промышленности</w:t>
            </w:r>
          </w:p>
          <w:p w14:paraId="0EF2E6F5" w14:textId="5C323E6E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Целевая группа – СМСП, реализующие и (или) планирующие реализовать проекты в обрабатывающей промышленности и сфере услуг, относящихся к обслуживанию обрабатывающей промышленности по первому направлению. </w:t>
            </w:r>
          </w:p>
          <w:p w14:paraId="7F7B1403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Участниками не могут быть СМСП: </w:t>
            </w:r>
          </w:p>
          <w:p w14:paraId="4E513721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 </w:t>
            </w:r>
          </w:p>
          <w:p w14:paraId="124C975F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 </w:t>
            </w:r>
          </w:p>
          <w:p w14:paraId="05A302A1" w14:textId="1A871F25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В целях кредитования одобренных заявок СМСП БВУ осуществляют предварительное согласование с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выезда на место реализации проекта СМСП. </w:t>
            </w:r>
          </w:p>
          <w:p w14:paraId="3360A2A2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>4. Кредиты предоставляются СМСП на условиях целевого использования, платности, срочности, возвратности и обеспеченности, в т.ч.:</w:t>
            </w:r>
          </w:p>
          <w:p w14:paraId="619B24ED" w14:textId="17E48F29" w:rsidR="00333FDD" w:rsidRP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максимальный лимит финансирования на одного СМСП для всех кредитов, выданных за счет средств НФ РК, –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3600000000 (три миллиарда шестьсот миллионов) тенге, за исключением проектов в сфере пищевой промышленности, по которым лимит отсутствует; </w:t>
            </w:r>
          </w:p>
          <w:p w14:paraId="71A583AB" w14:textId="77777777" w:rsidR="00333FDD" w:rsidRP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срок кредитования: на инвестиции – не более 10 лет; на пополнение оборотных средств –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более 5 лет; </w:t>
            </w:r>
          </w:p>
          <w:p w14:paraId="5AB4FDB1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СМСП –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6,0 % годовых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6D919892" w14:textId="77777777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валюта кредитования – тенге. </w:t>
            </w:r>
          </w:p>
          <w:p w14:paraId="0F62C046" w14:textId="4CC28703" w:rsid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 Условия настоящего подраздела не распространяются на займы, выданные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333F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14DF5DF9" w14:textId="4C077273" w:rsidR="00333FDD" w:rsidRPr="00333FDD" w:rsidRDefault="00333FDD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В случае кредитования проекта в сфере пищевой промышленности на сумму свыше 500000000 (пятьсот миллионов) тенге, необходимо положительное заключение уполномоченного органа в области развития агропромышленного комплекса (далее - уполномоченный орган). Для этого АО </w:t>
            </w:r>
            <w:r w:rsidR="0032766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ФРП </w:t>
            </w:r>
            <w:r w:rsidR="0032766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>Даму</w:t>
            </w:r>
            <w:r w:rsidR="0032766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направляет уполномоченному органу запрос и следующую информацию: краткая информация по проекту, мощность проекта, производимый продукт, место реализации проекта (область, район, населенный пункт), наличие сырьевой базы, потенциальные рынки сбыта. Уполномоченный орган в течение 7 (семь) рабочих дней после даты получения запроса представляет заключение об отраслевой целесообразности или нецелесообразности финансирования проекта.</w:t>
            </w:r>
          </w:p>
        </w:tc>
        <w:tc>
          <w:tcPr>
            <w:tcW w:w="4500" w:type="dxa"/>
          </w:tcPr>
          <w:p w14:paraId="16B5E560" w14:textId="77777777" w:rsidR="000E4816" w:rsidRDefault="000E4816" w:rsidP="000E4816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FDD">
              <w:rPr>
                <w:rFonts w:ascii="Times New Roman" w:hAnsi="Times New Roman" w:cs="Times New Roman"/>
                <w:sz w:val="20"/>
                <w:szCs w:val="20"/>
              </w:rPr>
              <w:t>Условия финансирования субъектов малого и среднего предпринимательства в обрабатывающей промышленности</w:t>
            </w:r>
          </w:p>
          <w:p w14:paraId="721A29DD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1. Целевая группа – СМСП, реализующие и (или) планирующие реализовать проекты в обрабатывающей промышленности и сфере услуг, относящихся к обслуживанию обрабатывающей промышленности по первому направлению.</w:t>
            </w:r>
          </w:p>
          <w:p w14:paraId="70C4FF10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2. Участниками не могут быть СМСП:</w:t>
            </w:r>
          </w:p>
          <w:p w14:paraId="507A0BB6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75202B8B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</w:t>
            </w:r>
          </w:p>
          <w:p w14:paraId="6E3358F2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3. В целях кредитования одобренных заявок СМСП БВУ осуществляют предварительное согласование с АО «ФРП «Даму»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«ФРП «Даму» после выезда на место реализации проекта СМСП.</w:t>
            </w:r>
          </w:p>
          <w:p w14:paraId="42E83A05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4. Кредиты предоставляются СМСП на условиях целевого использования, платности, срочности, возвратности и обеспеченности, в т.ч.:</w:t>
            </w:r>
          </w:p>
          <w:p w14:paraId="6206A044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1 максимальный лимит финансирования на одного СМСП/на группу связанных лиц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7 000 000 000 (семь миллиардов) тенге, с учетом действующих обязательств по всем программам обусловленного размещения средств АО «ФРП «Даму»;</w:t>
            </w:r>
          </w:p>
          <w:p w14:paraId="333F315D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2) срок кредитования:</w:t>
            </w:r>
          </w:p>
          <w:p w14:paraId="1A557C67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на инвестиции – не более 10 лет;</w:t>
            </w:r>
          </w:p>
          <w:p w14:paraId="5C92370F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на пополнение оборотных средств –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не более 3 лет;</w:t>
            </w:r>
          </w:p>
          <w:p w14:paraId="70572AC4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3) номинальная ставка вознаграждения для СМСП - 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уровня;</w:t>
            </w:r>
          </w:p>
          <w:p w14:paraId="5B1085C1" w14:textId="77777777" w:rsidR="00333FDD" w:rsidRPr="00333FDD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4) валюта кредитования – тенге.</w:t>
            </w:r>
          </w:p>
          <w:p w14:paraId="5824C810" w14:textId="23E83454" w:rsidR="00333FDD" w:rsidRPr="00633AAB" w:rsidRDefault="00333FDD" w:rsidP="00333FDD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33FD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5. Условия настоящего подраздела не распространяются на займы, выданные АО «Цеснабанк».».</w:t>
            </w:r>
          </w:p>
        </w:tc>
        <w:tc>
          <w:tcPr>
            <w:tcW w:w="3337" w:type="dxa"/>
          </w:tcPr>
          <w:p w14:paraId="2E5E6839" w14:textId="50B83344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2 Сравнительной таблицы.</w:t>
            </w:r>
          </w:p>
          <w:p w14:paraId="30F81451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50CCE6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395A8F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59251E3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817EC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BA0BF0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A4C451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19456F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9585D2C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A124212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88BDA20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60A3E5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7EB180A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3D5BE3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8F870E6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84E8323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9DA0E1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CA2B38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1EAC33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D4BD749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3DA6DA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DB9089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478061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6781207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338DB2D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EE47BD2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F34A0C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0E881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B273AE6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18D288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883B82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43D538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D2F0AB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3AD0AC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B7DE2C1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022B34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A1C6FF4" w14:textId="77777777" w:rsidR="00752F81" w:rsidRDefault="00752F81" w:rsidP="003E6F3E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1BE6E8" w14:textId="44D0BEDC" w:rsidR="00752F81" w:rsidRPr="00421450" w:rsidRDefault="00752F81" w:rsidP="007163F5">
            <w:pPr>
              <w:shd w:val="clear" w:color="auto" w:fill="FFFFFF" w:themeFill="background1"/>
              <w:tabs>
                <w:tab w:val="left" w:pos="1365"/>
              </w:tabs>
              <w:ind w:firstLine="2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В целях обеспечения прозрачности, предсказуемости и равных условий для заемщиков, предлагается установить максимальный срок кредитования на цели пополнение оборотных средств 3 года.</w:t>
            </w:r>
          </w:p>
        </w:tc>
      </w:tr>
      <w:tr w:rsidR="00633AAB" w:rsidRPr="000841A8" w14:paraId="5D15922C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17E6C5ED" w14:textId="20A12616" w:rsidR="00633AAB" w:rsidRPr="00421450" w:rsidRDefault="00355F25" w:rsidP="00633AAB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8</w:t>
            </w:r>
            <w:r w:rsidR="00633AAB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6521F59A" w14:textId="77777777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3) </w:t>
            </w:r>
          </w:p>
          <w:p w14:paraId="1FAC6CAF" w14:textId="39F0C77E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4</w:t>
            </w:r>
          </w:p>
          <w:p w14:paraId="0B43DBC2" w14:textId="01CFE5B8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подраздела «Условия финансирования субъектов крупного предпринимательства в обрабатывающей промышленности»</w:t>
            </w:r>
          </w:p>
        </w:tc>
        <w:tc>
          <w:tcPr>
            <w:tcW w:w="4500" w:type="dxa"/>
          </w:tcPr>
          <w:p w14:paraId="45525FF7" w14:textId="03167BEC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СКП –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6,0 %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годовых;</w:t>
            </w:r>
          </w:p>
        </w:tc>
        <w:tc>
          <w:tcPr>
            <w:tcW w:w="4500" w:type="dxa"/>
          </w:tcPr>
          <w:p w14:paraId="0438734E" w14:textId="0AD93F55" w:rsidR="00633AAB" w:rsidRPr="00421450" w:rsidRDefault="000841A8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СКП - </w:t>
            </w:r>
            <w:r w:rsidRPr="00A75C52"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уровня;</w:t>
            </w:r>
          </w:p>
        </w:tc>
        <w:tc>
          <w:tcPr>
            <w:tcW w:w="3337" w:type="dxa"/>
          </w:tcPr>
          <w:p w14:paraId="27E6497E" w14:textId="56080CD4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2 Сравнительной таблицы.</w:t>
            </w:r>
          </w:p>
          <w:p w14:paraId="04AC3262" w14:textId="18B66250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3AAB" w:rsidRPr="000841A8" w14:paraId="36A05CF3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34DF8CCB" w14:textId="0F819F53" w:rsidR="00633AAB" w:rsidRPr="00A62399" w:rsidRDefault="00A62399" w:rsidP="00633AAB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9.</w:t>
            </w:r>
          </w:p>
        </w:tc>
        <w:tc>
          <w:tcPr>
            <w:tcW w:w="2250" w:type="dxa"/>
          </w:tcPr>
          <w:p w14:paraId="6363D4CB" w14:textId="77777777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часть вторая</w:t>
            </w:r>
          </w:p>
          <w:p w14:paraId="31C91639" w14:textId="77777777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3</w:t>
            </w:r>
          </w:p>
          <w:p w14:paraId="7F291AD7" w14:textId="0FD070B2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подраздела «Мониторинг»</w:t>
            </w:r>
          </w:p>
        </w:tc>
        <w:tc>
          <w:tcPr>
            <w:tcW w:w="4500" w:type="dxa"/>
          </w:tcPr>
          <w:p w14:paraId="66F794CD" w14:textId="7275BF2B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«ФРП «Даму» и АО «БРК» представляют информацию, полученную от БВУ в соответствии с условиями настоящего пункта,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контролю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НФ РК,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распоряжением Президента Республики Казахстан от 18 апреля 2014 года № 281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Комиссия) и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НУХ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Байтерек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00" w:type="dxa"/>
          </w:tcPr>
          <w:p w14:paraId="43146F7D" w14:textId="0DBCBDE1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«ФРП «Даму» и АО «БРК» представляют информацию, полученную от БВУ в соответствии с условиями настоящего пункта,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мониторингу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НФ РК,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Указом Президента Республики Казахстан от 19 мая 2025 года № 879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Комиссия) и АО «Н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Х «Байтерек».</w:t>
            </w:r>
          </w:p>
        </w:tc>
        <w:tc>
          <w:tcPr>
            <w:tcW w:w="3337" w:type="dxa"/>
          </w:tcPr>
          <w:p w14:paraId="0D3ABBC2" w14:textId="6FC7F1D2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4 Сравнительной таблицы.</w:t>
            </w:r>
          </w:p>
          <w:p w14:paraId="0205E149" w14:textId="0DE1099E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3AAB" w:rsidRPr="000841A8" w14:paraId="25F66947" w14:textId="77777777" w:rsidTr="00857FDD">
        <w:trPr>
          <w:gridAfter w:val="1"/>
          <w:wAfter w:w="7" w:type="dxa"/>
          <w:trHeight w:val="1155"/>
        </w:trPr>
        <w:tc>
          <w:tcPr>
            <w:tcW w:w="540" w:type="dxa"/>
          </w:tcPr>
          <w:p w14:paraId="024A7D64" w14:textId="0843CD73" w:rsidR="00633AAB" w:rsidRPr="00421450" w:rsidRDefault="00A62399" w:rsidP="00633AAB">
            <w:pPr>
              <w:shd w:val="clear" w:color="auto" w:fill="FFFFFF" w:themeFill="background1"/>
              <w:tabs>
                <w:tab w:val="left" w:pos="360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bookmarkStart w:id="0" w:name="_Hlk216349336"/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10.</w:t>
            </w:r>
          </w:p>
        </w:tc>
        <w:tc>
          <w:tcPr>
            <w:tcW w:w="2250" w:type="dxa"/>
          </w:tcPr>
          <w:p w14:paraId="7EB914C1" w14:textId="31A123F5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приложени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500" w:type="dxa"/>
          </w:tcPr>
          <w:p w14:paraId="46A7AF56" w14:textId="77777777" w:rsidR="00633AAB" w:rsidRDefault="00633AAB" w:rsidP="00633AAB">
            <w:pPr>
              <w:pStyle w:val="pc"/>
              <w:jc w:val="right"/>
              <w:rPr>
                <w:color w:val="auto"/>
                <w:sz w:val="20"/>
                <w:szCs w:val="20"/>
              </w:rPr>
            </w:pPr>
            <w:r w:rsidRPr="00EF0D06">
              <w:rPr>
                <w:color w:val="auto"/>
                <w:sz w:val="20"/>
                <w:szCs w:val="20"/>
              </w:rPr>
              <w:t>Приложение 1</w:t>
            </w:r>
            <w:r w:rsidRPr="00EF0D06">
              <w:rPr>
                <w:color w:val="auto"/>
                <w:sz w:val="20"/>
                <w:szCs w:val="20"/>
              </w:rPr>
              <w:br/>
              <w:t>к Плану совместных действий</w:t>
            </w:r>
            <w:r w:rsidRPr="00EF0D06">
              <w:rPr>
                <w:color w:val="auto"/>
                <w:sz w:val="20"/>
                <w:szCs w:val="20"/>
              </w:rPr>
              <w:br/>
              <w:t>Правительства Республики</w:t>
            </w:r>
            <w:r w:rsidRPr="00EF0D06">
              <w:rPr>
                <w:color w:val="auto"/>
                <w:sz w:val="20"/>
                <w:szCs w:val="20"/>
              </w:rPr>
              <w:br/>
              <w:t>Казахстан и Национального Банка</w:t>
            </w:r>
            <w:r w:rsidRPr="00EF0D06">
              <w:rPr>
                <w:color w:val="auto"/>
                <w:sz w:val="20"/>
                <w:szCs w:val="20"/>
              </w:rPr>
              <w:br/>
              <w:t>Республики Казахстан по</w:t>
            </w:r>
            <w:r w:rsidRPr="00EF0D06">
              <w:rPr>
                <w:color w:val="auto"/>
                <w:sz w:val="20"/>
                <w:szCs w:val="20"/>
              </w:rPr>
              <w:br/>
              <w:t>обеспечению финансирования</w:t>
            </w:r>
            <w:r w:rsidRPr="00EF0D06">
              <w:rPr>
                <w:color w:val="auto"/>
                <w:sz w:val="20"/>
                <w:szCs w:val="20"/>
              </w:rPr>
              <w:br/>
              <w:t>субъектов предпринимательства</w:t>
            </w:r>
            <w:r w:rsidRPr="00EF0D06">
              <w:rPr>
                <w:color w:val="auto"/>
                <w:sz w:val="20"/>
                <w:szCs w:val="20"/>
              </w:rPr>
              <w:br/>
              <w:t>в обрабатывающей промышленности</w:t>
            </w:r>
          </w:p>
          <w:p w14:paraId="1A4ABEB6" w14:textId="77777777" w:rsidR="00633AAB" w:rsidRDefault="00633AAB" w:rsidP="00633AAB">
            <w:pPr>
              <w:pStyle w:val="pc"/>
              <w:rPr>
                <w:color w:val="auto"/>
                <w:sz w:val="20"/>
                <w:szCs w:val="20"/>
              </w:rPr>
            </w:pPr>
          </w:p>
          <w:p w14:paraId="47712E5B" w14:textId="29FE4285" w:rsidR="00633AAB" w:rsidRPr="009B77A7" w:rsidRDefault="00633AAB" w:rsidP="00633AAB">
            <w:pPr>
              <w:pStyle w:val="pc"/>
              <w:rPr>
                <w:b/>
                <w:bCs/>
                <w:color w:val="auto"/>
                <w:sz w:val="20"/>
                <w:szCs w:val="20"/>
              </w:rPr>
            </w:pPr>
            <w:r w:rsidRPr="009B77A7">
              <w:rPr>
                <w:b/>
                <w:bCs/>
                <w:color w:val="auto"/>
                <w:sz w:val="20"/>
                <w:szCs w:val="20"/>
              </w:rPr>
              <w:t>Перечень сфер обрабатывающей промышленности для финансирования</w:t>
            </w:r>
            <w:r w:rsidRPr="009B77A7">
              <w:rPr>
                <w:b/>
                <w:bCs/>
                <w:color w:val="auto"/>
                <w:sz w:val="20"/>
                <w:szCs w:val="20"/>
              </w:rPr>
              <w:br/>
              <w:t>проектов субъектов малого и среднего предпринимательства</w:t>
            </w:r>
          </w:p>
          <w:p w14:paraId="70DB128A" w14:textId="77777777" w:rsidR="00633AAB" w:rsidRPr="009B77A7" w:rsidRDefault="00633AAB" w:rsidP="00633AAB">
            <w:pPr>
              <w:pStyle w:val="pc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  <w:tbl>
            <w:tblPr>
              <w:tblW w:w="400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2019"/>
              <w:gridCol w:w="1170"/>
            </w:tblGrid>
            <w:tr w:rsidR="00633AAB" w:rsidRPr="009B77A7" w14:paraId="3512A79F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0C2629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Секция</w:t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20C936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D4000C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Код ОКЭД</w:t>
                  </w:r>
                </w:p>
              </w:tc>
            </w:tr>
            <w:tr w:rsidR="00633AAB" w:rsidRPr="009B77A7" w14:paraId="1B3C7F6C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B561BE" w14:textId="77777777" w:rsidR="00633AAB" w:rsidRPr="009B77A7" w:rsidRDefault="00633AAB" w:rsidP="00633AAB">
                  <w:pPr>
                    <w:pStyle w:val="pc"/>
                  </w:pPr>
                  <w:r w:rsidRPr="009B77A7">
                    <w:rPr>
                      <w:sz w:val="20"/>
                    </w:rPr>
                    <w:t>С</w:t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738DD6" w14:textId="77777777" w:rsidR="00633AAB" w:rsidRPr="009B77A7" w:rsidRDefault="00633AAB" w:rsidP="00633AAB">
                  <w:pPr>
                    <w:pStyle w:val="pc"/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Обрабатывающая</w:t>
                  </w:r>
                  <w:r w:rsidRPr="009B77A7">
                    <w:rPr>
                      <w:sz w:val="20"/>
                    </w:rPr>
                    <w:t xml:space="preserve"> </w:t>
                  </w:r>
                  <w:r w:rsidRPr="009B77A7">
                    <w:rPr>
                      <w:color w:val="auto"/>
                      <w:sz w:val="20"/>
                      <w:szCs w:val="20"/>
                    </w:rPr>
                    <w:t>промышленность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5467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10-33.</w:t>
                  </w:r>
                </w:p>
              </w:tc>
            </w:tr>
            <w:tr w:rsidR="00633AAB" w:rsidRPr="009B77A7" w14:paraId="554417E5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F11D4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FE600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напитков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B7B26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11</w:t>
                  </w:r>
                </w:p>
              </w:tc>
            </w:tr>
            <w:tr w:rsidR="00633AAB" w:rsidRPr="009B77A7" w14:paraId="7628D904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559D6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848A3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текстильных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7BF0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13</w:t>
                  </w:r>
                </w:p>
              </w:tc>
            </w:tr>
            <w:tr w:rsidR="00633AAB" w:rsidRPr="009B77A7" w14:paraId="6AB1CDF5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1A6E5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08754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одежды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88AF1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14</w:t>
                  </w:r>
                </w:p>
              </w:tc>
            </w:tr>
            <w:tr w:rsidR="00633AAB" w:rsidRPr="009B77A7" w14:paraId="071725A7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37309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4F924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кожаной и относящейся к ней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AB98F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15</w:t>
                  </w:r>
                </w:p>
              </w:tc>
            </w:tr>
            <w:tr w:rsidR="00633AAB" w:rsidRPr="009B77A7" w14:paraId="5F25DD5E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0C31D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DFD09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деревянных и пробковых изделий, кроме мебели;</w:t>
                  </w: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  <w:t>производство изделий из соломки и материалов для плетения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528E3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16</w:t>
                  </w:r>
                </w:p>
              </w:tc>
            </w:tr>
            <w:tr w:rsidR="00633AAB" w:rsidRPr="009B77A7" w14:paraId="2A33409A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AA4AB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0254F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бумаги и бумажной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811C9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17</w:t>
                  </w:r>
                </w:p>
              </w:tc>
            </w:tr>
            <w:tr w:rsidR="00633AAB" w:rsidRPr="009B77A7" w14:paraId="7704322F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4219B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E0EC5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Печать и воспроизведение записанных материалов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D809F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18</w:t>
                  </w:r>
                </w:p>
              </w:tc>
            </w:tr>
            <w:tr w:rsidR="00633AAB" w:rsidRPr="009B77A7" w14:paraId="04A9D068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062EE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42619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кокса и продуктов нефтепереработки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A763B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19</w:t>
                  </w:r>
                </w:p>
              </w:tc>
            </w:tr>
            <w:tr w:rsidR="00633AAB" w:rsidRPr="009B77A7" w14:paraId="5CBEE4FC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ACE69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1733A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продуктов химической промышленности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247C3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20</w:t>
                  </w:r>
                </w:p>
              </w:tc>
            </w:tr>
            <w:tr w:rsidR="00633AAB" w:rsidRPr="009B77A7" w14:paraId="2AF1E06A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63739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5510E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основных фармацевтических продуктов и препаратов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75A96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21</w:t>
                  </w:r>
                </w:p>
              </w:tc>
            </w:tr>
            <w:tr w:rsidR="00633AAB" w:rsidRPr="009B77A7" w14:paraId="695C9E4B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3B1B3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9035F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резиновых и пластмассовых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724F6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22</w:t>
                  </w:r>
                </w:p>
              </w:tc>
            </w:tr>
            <w:tr w:rsidR="00633AAB" w:rsidRPr="009B77A7" w14:paraId="701DD5DC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31A3D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66A3C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прочей не металлической минеральной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A6DA9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23</w:t>
                  </w:r>
                </w:p>
              </w:tc>
            </w:tr>
            <w:tr w:rsidR="00633AAB" w:rsidRPr="009B77A7" w14:paraId="00417376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A2396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82090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Металлургическая промышленность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A02F4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24</w:t>
                  </w:r>
                </w:p>
              </w:tc>
            </w:tr>
            <w:tr w:rsidR="00633AAB" w:rsidRPr="009B77A7" w14:paraId="2B0389BB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F714B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E36A3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готовых металлических изделий, кроме машин и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6E496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25</w:t>
                  </w:r>
                </w:p>
              </w:tc>
            </w:tr>
            <w:tr w:rsidR="00633AAB" w:rsidRPr="009B77A7" w14:paraId="3FD425CF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C7881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BC232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компьютеров, электронной и оптической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9CAE3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26</w:t>
                  </w:r>
                </w:p>
              </w:tc>
            </w:tr>
            <w:tr w:rsidR="00633AAB" w:rsidRPr="009B77A7" w14:paraId="27B6161A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BB480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C6CF2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электрического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05846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27</w:t>
                  </w:r>
                </w:p>
              </w:tc>
            </w:tr>
            <w:tr w:rsidR="00633AAB" w:rsidRPr="009B77A7" w14:paraId="5E738D9A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7AA86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9A6F4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машин и оборудования, не включенных в другие категории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ABA8B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28</w:t>
                  </w:r>
                </w:p>
              </w:tc>
            </w:tr>
            <w:tr w:rsidR="00633AAB" w:rsidRPr="009B77A7" w14:paraId="14177497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0C3E1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6B67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автотранспортных средств, трейлеров и полуприцепов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8309B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29</w:t>
                  </w:r>
                </w:p>
              </w:tc>
            </w:tr>
            <w:tr w:rsidR="00633AAB" w:rsidRPr="009B77A7" w14:paraId="5A7275FA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E07B8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F0C0F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прочих транспортных средств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2891E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30</w:t>
                  </w:r>
                </w:p>
              </w:tc>
            </w:tr>
            <w:tr w:rsidR="00633AAB" w:rsidRPr="009B77A7" w14:paraId="1EA132F2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24EBF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7D04A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мебели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291F4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31</w:t>
                  </w:r>
                </w:p>
              </w:tc>
            </w:tr>
            <w:tr w:rsidR="00633AAB" w:rsidRPr="009B77A7" w14:paraId="560CE22F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2C2D1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CA36D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прочих готовых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A61F5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32</w:t>
                  </w:r>
                </w:p>
              </w:tc>
            </w:tr>
            <w:tr w:rsidR="00633AAB" w:rsidRPr="000841A8" w14:paraId="4C6A269D" w14:textId="77777777" w:rsidTr="009B77A7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4E0AE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0513F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Ремонт и установка машин и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DCA31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33</w:t>
                  </w:r>
                </w:p>
              </w:tc>
            </w:tr>
          </w:tbl>
          <w:p w14:paraId="6DB9CAF2" w14:textId="77777777" w:rsidR="00633AAB" w:rsidRDefault="00633AAB" w:rsidP="00633AAB">
            <w:pPr>
              <w:pStyle w:val="pc"/>
              <w:rPr>
                <w:b/>
              </w:rPr>
            </w:pPr>
            <w:bookmarkStart w:id="1" w:name="z45"/>
          </w:p>
          <w:p w14:paraId="1F582CC7" w14:textId="7D97034E" w:rsidR="00633AAB" w:rsidRPr="009B77A7" w:rsidRDefault="00633AAB" w:rsidP="00633AAB">
            <w:pPr>
              <w:pStyle w:val="pc"/>
              <w:rPr>
                <w:b/>
              </w:rPr>
            </w:pPr>
            <w:r w:rsidRPr="00BB5AD9">
              <w:rPr>
                <w:b/>
                <w:bCs/>
                <w:color w:val="auto"/>
                <w:sz w:val="20"/>
                <w:szCs w:val="20"/>
              </w:rPr>
              <w:t>Перечень отраслей сферы услуг, относящихся к обслуживанию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B5AD9">
              <w:rPr>
                <w:b/>
                <w:bCs/>
                <w:color w:val="auto"/>
                <w:sz w:val="20"/>
                <w:szCs w:val="20"/>
              </w:rPr>
              <w:t>обрабатывающей промышленност</w:t>
            </w:r>
            <w:r w:rsidRPr="009B77A7">
              <w:rPr>
                <w:b/>
              </w:rPr>
              <w:t>и</w:t>
            </w:r>
          </w:p>
          <w:p w14:paraId="3A1FF701" w14:textId="77777777" w:rsidR="00633AAB" w:rsidRPr="009B77A7" w:rsidRDefault="00633AAB" w:rsidP="00633AAB">
            <w:pPr>
              <w:pStyle w:val="pc"/>
            </w:pPr>
          </w:p>
          <w:tbl>
            <w:tblPr>
              <w:tblW w:w="400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4"/>
              <w:gridCol w:w="1980"/>
              <w:gridCol w:w="1170"/>
            </w:tblGrid>
            <w:tr w:rsidR="00633AAB" w:rsidRPr="009B77A7" w14:paraId="4497253E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1"/>
                <w:p w14:paraId="14BA9CAC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Секция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925CF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CC604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Код ОКЭД</w:t>
                  </w:r>
                </w:p>
              </w:tc>
            </w:tr>
            <w:tr w:rsidR="00633AAB" w:rsidRPr="009B77A7" w14:paraId="4DC6FCD5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7C88F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A097C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 и складирование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EC3C0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49-53.</w:t>
                  </w:r>
                </w:p>
              </w:tc>
            </w:tr>
            <w:tr w:rsidR="00633AAB" w:rsidRPr="009B77A7" w14:paraId="6A0BEFA0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DE44A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FBB8B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Грузовой железнодорожный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EB2C3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49.20</w:t>
                  </w:r>
                </w:p>
              </w:tc>
            </w:tr>
            <w:tr w:rsidR="00633AAB" w:rsidRPr="009B77A7" w14:paraId="21F3A3EC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F4CF6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C65D9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Грузовые перевозки автомобильным транспортом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005CC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49.41</w:t>
                  </w:r>
                </w:p>
              </w:tc>
            </w:tr>
            <w:tr w:rsidR="00633AAB" w:rsidRPr="009B77A7" w14:paraId="2B18DB25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E44A9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0F0D2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Транспортирование по трубопроводу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7859C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49.50</w:t>
                  </w:r>
                </w:p>
              </w:tc>
            </w:tr>
            <w:tr w:rsidR="00633AAB" w:rsidRPr="009B77A7" w14:paraId="23EE211E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BE89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36D40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Морской и прибрежный грузовой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6FFA9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50.20</w:t>
                  </w:r>
                </w:p>
              </w:tc>
            </w:tr>
            <w:tr w:rsidR="00633AAB" w:rsidRPr="009B77A7" w14:paraId="755CA09F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794BB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59D6A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Речной грузовой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CF9E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50.40</w:t>
                  </w:r>
                </w:p>
              </w:tc>
            </w:tr>
            <w:tr w:rsidR="00633AAB" w:rsidRPr="009B77A7" w14:paraId="32AD399B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8AD9B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CEB0C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Складирование и хранение груза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0627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52.10</w:t>
                  </w:r>
                </w:p>
              </w:tc>
            </w:tr>
            <w:tr w:rsidR="00633AAB" w:rsidRPr="009B77A7" w14:paraId="2CFC3A86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87BDC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879C2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 xml:space="preserve"> Услуги в области сухопутного транспорта 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7DAA5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52.21</w:t>
                  </w:r>
                </w:p>
              </w:tc>
            </w:tr>
            <w:tr w:rsidR="00633AAB" w:rsidRPr="009B77A7" w14:paraId="25D7BB37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DF0A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E55B6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Услуги в области водного транспорта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F0757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52.22</w:t>
                  </w:r>
                </w:p>
              </w:tc>
            </w:tr>
            <w:tr w:rsidR="00633AAB" w:rsidRPr="009B77A7" w14:paraId="69540F9E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35E40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7AB3F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Услуги в области воздушного транспорта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57047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52.23</w:t>
                  </w:r>
                </w:p>
              </w:tc>
            </w:tr>
            <w:tr w:rsidR="00633AAB" w:rsidRPr="009B77A7" w14:paraId="69101E4F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E802E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C538D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Транспортная обработка грузов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220B1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52.24</w:t>
                  </w:r>
                </w:p>
              </w:tc>
            </w:tr>
            <w:tr w:rsidR="00633AAB" w:rsidRPr="009B77A7" w14:paraId="21CAE27E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7BC4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AFBC9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Прочие сопроводительные услуги при перевозках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E41A1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52.29</w:t>
                  </w:r>
                </w:p>
              </w:tc>
            </w:tr>
            <w:tr w:rsidR="00633AAB" w:rsidRPr="009B77A7" w14:paraId="71C64DB5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5FBD55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J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F639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Информация и связь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CD29B7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58-63.</w:t>
                  </w:r>
                </w:p>
              </w:tc>
            </w:tr>
            <w:tr w:rsidR="00633AAB" w:rsidRPr="009B77A7" w14:paraId="590CDB4F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A01F40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DBB5E4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Проводная телекоммуникационная связь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DDA4E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61.10</w:t>
                  </w:r>
                </w:p>
              </w:tc>
            </w:tr>
            <w:tr w:rsidR="00633AAB" w:rsidRPr="009B77A7" w14:paraId="6D7F5232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463CEA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9BC754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 xml:space="preserve"> Беспроводная телекоммуникационная связь 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3AD80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61.20</w:t>
                  </w:r>
                </w:p>
              </w:tc>
            </w:tr>
            <w:tr w:rsidR="00633AAB" w:rsidRPr="009B77A7" w14:paraId="3BBD0F83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814286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E1D9FC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Деятельность в области спутниковых телекоммуникаций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746113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61.30</w:t>
                  </w:r>
                </w:p>
              </w:tc>
            </w:tr>
            <w:tr w:rsidR="00633AAB" w:rsidRPr="009B77A7" w14:paraId="0E7A7F8D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08E6EF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05090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 xml:space="preserve"> Другие виды телекоммуникационных услуг 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6F9A2E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61.90</w:t>
                  </w:r>
                </w:p>
              </w:tc>
            </w:tr>
            <w:tr w:rsidR="00633AAB" w:rsidRPr="009B77A7" w14:paraId="2F31F5EC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7BF77B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D1D718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Деятельность в области компьютерного программирования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356A0B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62.01</w:t>
                  </w:r>
                </w:p>
              </w:tc>
            </w:tr>
            <w:tr w:rsidR="00633AAB" w:rsidRPr="009B77A7" w14:paraId="5EBF24BD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B434FA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13748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Консультационные услуги в области компьютерных технологий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92A48A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62.02</w:t>
                  </w:r>
                </w:p>
              </w:tc>
            </w:tr>
            <w:tr w:rsidR="00633AAB" w:rsidRPr="009B77A7" w14:paraId="39BDC23B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F141FF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7DBD95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Деятельность по управлению компьютерным оборудованием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DEF730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62.03</w:t>
                  </w:r>
                </w:p>
              </w:tc>
            </w:tr>
            <w:tr w:rsidR="00633AAB" w:rsidRPr="009B77A7" w14:paraId="4D7C51BD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D12A73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564F86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Другие виды деятельности в области информационных технологий и компьютерных систем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5A80A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62.09</w:t>
                  </w:r>
                </w:p>
              </w:tc>
            </w:tr>
            <w:tr w:rsidR="00633AAB" w:rsidRPr="009B77A7" w14:paraId="41C6E5FE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588BCA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F78CD7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Профессиональная, научная и техническая деятельность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E2E062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69-75</w:t>
                  </w:r>
                </w:p>
              </w:tc>
            </w:tr>
            <w:tr w:rsidR="00633AAB" w:rsidRPr="009B77A7" w14:paraId="295EA7FB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722BA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023CA0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Технические испытания и анализы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DCA97B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71.20</w:t>
                  </w:r>
                </w:p>
              </w:tc>
            </w:tr>
            <w:tr w:rsidR="00633AAB" w:rsidRPr="009B77A7" w14:paraId="17B2A1F1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5F08EC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E61D2C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Работы по проведению специализированного дизайна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FA2036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74.10</w:t>
                  </w:r>
                </w:p>
              </w:tc>
            </w:tr>
            <w:tr w:rsidR="00633AAB" w:rsidRPr="009B77A7" w14:paraId="68488799" w14:textId="77777777" w:rsidTr="009B77A7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FB6AC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3D028D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Ветеринарная деятельность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97D162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75.00</w:t>
                  </w:r>
                </w:p>
              </w:tc>
            </w:tr>
          </w:tbl>
          <w:p w14:paraId="1D5E2F7F" w14:textId="77777777" w:rsidR="00633AAB" w:rsidRPr="009B77A7" w:rsidRDefault="00633AAB" w:rsidP="00633A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7F0F7F4E" w14:textId="77777777" w:rsidR="00633AAB" w:rsidRDefault="00633AAB" w:rsidP="00633AAB">
            <w:pPr>
              <w:pStyle w:val="pc"/>
              <w:jc w:val="right"/>
              <w:rPr>
                <w:color w:val="auto"/>
                <w:sz w:val="20"/>
                <w:szCs w:val="20"/>
              </w:rPr>
            </w:pPr>
            <w:r w:rsidRPr="00EF0D06">
              <w:rPr>
                <w:color w:val="auto"/>
                <w:sz w:val="20"/>
                <w:szCs w:val="20"/>
              </w:rPr>
              <w:t>Приложение 1</w:t>
            </w:r>
            <w:r w:rsidRPr="00EF0D06">
              <w:rPr>
                <w:color w:val="auto"/>
                <w:sz w:val="20"/>
                <w:szCs w:val="20"/>
              </w:rPr>
              <w:br/>
              <w:t>к Плану совместных действий</w:t>
            </w:r>
            <w:r w:rsidRPr="00EF0D06">
              <w:rPr>
                <w:color w:val="auto"/>
                <w:sz w:val="20"/>
                <w:szCs w:val="20"/>
              </w:rPr>
              <w:br/>
              <w:t>Правительства Республики</w:t>
            </w:r>
            <w:r w:rsidRPr="00EF0D06">
              <w:rPr>
                <w:color w:val="auto"/>
                <w:sz w:val="20"/>
                <w:szCs w:val="20"/>
              </w:rPr>
              <w:br/>
              <w:t>Казахстан и Национального Банка</w:t>
            </w:r>
            <w:r w:rsidRPr="00EF0D06">
              <w:rPr>
                <w:color w:val="auto"/>
                <w:sz w:val="20"/>
                <w:szCs w:val="20"/>
              </w:rPr>
              <w:br/>
              <w:t>Республики Казахстан по</w:t>
            </w:r>
            <w:r w:rsidRPr="00EF0D06">
              <w:rPr>
                <w:color w:val="auto"/>
                <w:sz w:val="20"/>
                <w:szCs w:val="20"/>
              </w:rPr>
              <w:br/>
              <w:t>обеспечению финансирования</w:t>
            </w:r>
            <w:r w:rsidRPr="00EF0D06">
              <w:rPr>
                <w:color w:val="auto"/>
                <w:sz w:val="20"/>
                <w:szCs w:val="20"/>
              </w:rPr>
              <w:br/>
              <w:t>субъектов предпринимательства</w:t>
            </w:r>
            <w:r w:rsidRPr="00EF0D06">
              <w:rPr>
                <w:color w:val="auto"/>
                <w:sz w:val="20"/>
                <w:szCs w:val="20"/>
              </w:rPr>
              <w:br/>
              <w:t>в обрабатывающей промышленности</w:t>
            </w:r>
          </w:p>
          <w:p w14:paraId="13943688" w14:textId="77777777" w:rsidR="00633AAB" w:rsidRDefault="00633AAB" w:rsidP="00633AAB">
            <w:pPr>
              <w:pStyle w:val="pc"/>
              <w:rPr>
                <w:b/>
                <w:bCs/>
                <w:color w:val="auto"/>
                <w:sz w:val="20"/>
                <w:szCs w:val="20"/>
              </w:rPr>
            </w:pPr>
          </w:p>
          <w:p w14:paraId="1BAF3D6E" w14:textId="1093DD0F" w:rsidR="00633AAB" w:rsidRPr="009B77A7" w:rsidRDefault="00633AAB" w:rsidP="00633AAB">
            <w:pPr>
              <w:pStyle w:val="pc"/>
              <w:rPr>
                <w:b/>
                <w:bCs/>
                <w:color w:val="auto"/>
                <w:sz w:val="20"/>
                <w:szCs w:val="20"/>
              </w:rPr>
            </w:pPr>
            <w:r w:rsidRPr="009B77A7">
              <w:rPr>
                <w:b/>
                <w:bCs/>
                <w:color w:val="auto"/>
                <w:sz w:val="20"/>
                <w:szCs w:val="20"/>
              </w:rPr>
              <w:t>Перечень сфер обрабатывающей промышленности для финансирования</w:t>
            </w:r>
            <w:r w:rsidRPr="009B77A7">
              <w:rPr>
                <w:b/>
                <w:bCs/>
                <w:color w:val="auto"/>
                <w:sz w:val="20"/>
                <w:szCs w:val="20"/>
              </w:rPr>
              <w:br/>
              <w:t>проектов субъектов малого и среднего предпринимательства</w:t>
            </w:r>
          </w:p>
          <w:p w14:paraId="2CD46DCB" w14:textId="77777777" w:rsidR="00633AAB" w:rsidRPr="009B77A7" w:rsidRDefault="00633AAB" w:rsidP="00633AAB">
            <w:pPr>
              <w:pStyle w:val="pc"/>
              <w:jc w:val="both"/>
              <w:rPr>
                <w:b/>
                <w:bCs/>
                <w:color w:val="auto"/>
                <w:sz w:val="20"/>
                <w:szCs w:val="20"/>
              </w:rPr>
            </w:pPr>
          </w:p>
          <w:tbl>
            <w:tblPr>
              <w:tblW w:w="400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2019"/>
              <w:gridCol w:w="1170"/>
            </w:tblGrid>
            <w:tr w:rsidR="00633AAB" w:rsidRPr="009B77A7" w14:paraId="505B160A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4CD80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Секция</w:t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CC8FA7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AFBFB9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Код ОКЭД</w:t>
                  </w:r>
                </w:p>
              </w:tc>
            </w:tr>
            <w:tr w:rsidR="00633AAB" w:rsidRPr="009B77A7" w14:paraId="4FF5DD76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6964F5" w14:textId="77777777" w:rsidR="00633AAB" w:rsidRPr="009B77A7" w:rsidRDefault="00633AAB" w:rsidP="00633AAB">
                  <w:pPr>
                    <w:pStyle w:val="pc"/>
                  </w:pPr>
                  <w:r w:rsidRPr="009B77A7">
                    <w:rPr>
                      <w:sz w:val="20"/>
                    </w:rPr>
                    <w:t>С</w:t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52F759" w14:textId="77777777" w:rsidR="00633AAB" w:rsidRPr="009B77A7" w:rsidRDefault="00633AAB" w:rsidP="00633AAB">
                  <w:pPr>
                    <w:pStyle w:val="pc"/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Обрабатывающая</w:t>
                  </w:r>
                  <w:r w:rsidRPr="009B77A7">
                    <w:rPr>
                      <w:sz w:val="20"/>
                    </w:rPr>
                    <w:t xml:space="preserve"> </w:t>
                  </w:r>
                  <w:r w:rsidRPr="009B77A7">
                    <w:rPr>
                      <w:color w:val="auto"/>
                      <w:sz w:val="20"/>
                      <w:szCs w:val="20"/>
                    </w:rPr>
                    <w:t>промышленность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E8043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10-33.</w:t>
                  </w:r>
                </w:p>
              </w:tc>
            </w:tr>
            <w:tr w:rsidR="00633AAB" w:rsidRPr="009B77A7" w14:paraId="6E18477D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3DD5E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43D72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напитков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A2FED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11</w:t>
                  </w:r>
                </w:p>
              </w:tc>
            </w:tr>
            <w:tr w:rsidR="00633AAB" w:rsidRPr="009B77A7" w14:paraId="41ED79FD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7B732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FCA86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текстильных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D57B7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13</w:t>
                  </w:r>
                </w:p>
              </w:tc>
            </w:tr>
            <w:tr w:rsidR="00633AAB" w:rsidRPr="009B77A7" w14:paraId="06877A2D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6DB3E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9A97D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одежды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BF78B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14</w:t>
                  </w:r>
                </w:p>
              </w:tc>
            </w:tr>
            <w:tr w:rsidR="00633AAB" w:rsidRPr="009B77A7" w14:paraId="66A1385F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66B47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2618D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кожаной и относящейся к ней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93654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15</w:t>
                  </w:r>
                </w:p>
              </w:tc>
            </w:tr>
            <w:tr w:rsidR="00633AAB" w:rsidRPr="009B77A7" w14:paraId="769BECEC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FC7DB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F89D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деревянных и пробковых изделий, кроме мебели;</w:t>
                  </w: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  <w:t>производство изделий из соломки и материалов для плетения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086F1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16</w:t>
                  </w:r>
                </w:p>
              </w:tc>
            </w:tr>
            <w:tr w:rsidR="00633AAB" w:rsidRPr="009B77A7" w14:paraId="1DD3341F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DD12E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2AAA1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бумаги и бумажной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CC187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17</w:t>
                  </w:r>
                </w:p>
              </w:tc>
            </w:tr>
            <w:tr w:rsidR="00633AAB" w:rsidRPr="009B77A7" w14:paraId="08679F7B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83472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4D7E5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Печать и воспроизведение записанных материалов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F5451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18</w:t>
                  </w:r>
                </w:p>
              </w:tc>
            </w:tr>
            <w:tr w:rsidR="00633AAB" w:rsidRPr="009B77A7" w14:paraId="5B756038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5DE04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724FF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кокса и продуктов нефтепереработки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72DC2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19</w:t>
                  </w:r>
                </w:p>
              </w:tc>
            </w:tr>
            <w:tr w:rsidR="00633AAB" w:rsidRPr="009B77A7" w14:paraId="43E0B8C4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9353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7A3B0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продуктов химической промышленности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7EF3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20</w:t>
                  </w:r>
                </w:p>
              </w:tc>
            </w:tr>
            <w:tr w:rsidR="00633AAB" w:rsidRPr="009B77A7" w14:paraId="3448D7DC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1D226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BE86A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основных фармацевтических продуктов и препаратов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41042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21</w:t>
                  </w:r>
                </w:p>
              </w:tc>
            </w:tr>
            <w:tr w:rsidR="00633AAB" w:rsidRPr="009B77A7" w14:paraId="2E49AE79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8DD34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EF727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резиновых и пластмассовых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07C62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22</w:t>
                  </w:r>
                </w:p>
              </w:tc>
            </w:tr>
            <w:tr w:rsidR="00633AAB" w:rsidRPr="009B77A7" w14:paraId="363B5BC6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B710F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13296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прочей не металлической минеральной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2915F0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23</w:t>
                  </w:r>
                </w:p>
              </w:tc>
            </w:tr>
            <w:tr w:rsidR="00633AAB" w:rsidRPr="009B77A7" w14:paraId="0D835AD3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3C8EA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3865D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Металлургическая промышленность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A7E18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24</w:t>
                  </w:r>
                </w:p>
              </w:tc>
            </w:tr>
            <w:tr w:rsidR="00633AAB" w:rsidRPr="009B77A7" w14:paraId="6B4BDFDF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400A4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D6ED0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готовых металлических изделий, кроме машин и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5112D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25</w:t>
                  </w:r>
                </w:p>
              </w:tc>
            </w:tr>
            <w:tr w:rsidR="00633AAB" w:rsidRPr="009B77A7" w14:paraId="36DE5D17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D8693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486E5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компьютеров, электронной и оптической продукции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BCFA6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26</w:t>
                  </w:r>
                </w:p>
              </w:tc>
            </w:tr>
            <w:tr w:rsidR="00633AAB" w:rsidRPr="009B77A7" w14:paraId="2BB5DE2B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A6185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00AB6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электрического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C7A8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27</w:t>
                  </w:r>
                </w:p>
              </w:tc>
            </w:tr>
            <w:tr w:rsidR="00633AAB" w:rsidRPr="009B77A7" w14:paraId="049F9E98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8EFF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BA902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машин и оборудования, не включенных в другие категории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37FAD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28</w:t>
                  </w:r>
                </w:p>
              </w:tc>
            </w:tr>
            <w:tr w:rsidR="00633AAB" w:rsidRPr="009B77A7" w14:paraId="7A12696F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93EA6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958D8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автотранспортных средств, трейлеров и полуприцепов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63286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29</w:t>
                  </w:r>
                </w:p>
              </w:tc>
            </w:tr>
            <w:tr w:rsidR="00633AAB" w:rsidRPr="009B77A7" w14:paraId="71A4C3E6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63BBF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2FABB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прочих транспортных средств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DB0D9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30</w:t>
                  </w:r>
                </w:p>
              </w:tc>
            </w:tr>
            <w:tr w:rsidR="00633AAB" w:rsidRPr="009B77A7" w14:paraId="1A65C243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FC464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2168E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мебели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C29F4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31</w:t>
                  </w:r>
                </w:p>
              </w:tc>
            </w:tr>
            <w:tr w:rsidR="00633AAB" w:rsidRPr="009B77A7" w14:paraId="4A2EAD51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DA38C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C17CE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Производство прочих готовых изделий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E20D8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32</w:t>
                  </w:r>
                </w:p>
              </w:tc>
            </w:tr>
            <w:tr w:rsidR="00633AAB" w:rsidRPr="000841A8" w14:paraId="305EE87F" w14:textId="77777777" w:rsidTr="00D72F4E">
              <w:trPr>
                <w:trHeight w:val="30"/>
              </w:trPr>
              <w:tc>
                <w:tcPr>
                  <w:tcW w:w="8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BBE71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01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9E834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Ремонт и установка машин и оборудования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1F0DBD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33</w:t>
                  </w:r>
                </w:p>
              </w:tc>
            </w:tr>
          </w:tbl>
          <w:p w14:paraId="5224E940" w14:textId="77777777" w:rsidR="00633AAB" w:rsidRDefault="00633AAB" w:rsidP="00633AAB">
            <w:pPr>
              <w:pStyle w:val="pc"/>
              <w:rPr>
                <w:b/>
              </w:rPr>
            </w:pPr>
          </w:p>
          <w:p w14:paraId="440A2C00" w14:textId="1E16E844" w:rsidR="00633AAB" w:rsidRPr="00BB5AD9" w:rsidRDefault="00633AAB" w:rsidP="00633AAB">
            <w:pPr>
              <w:pStyle w:val="pc"/>
              <w:rPr>
                <w:b/>
                <w:bCs/>
                <w:color w:val="auto"/>
                <w:sz w:val="20"/>
                <w:szCs w:val="20"/>
              </w:rPr>
            </w:pPr>
            <w:r w:rsidRPr="00BB5AD9">
              <w:rPr>
                <w:b/>
                <w:bCs/>
                <w:color w:val="auto"/>
                <w:sz w:val="20"/>
                <w:szCs w:val="20"/>
              </w:rPr>
              <w:t>Перечень отраслей сферы услуг, относящихся к обслуживанию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B5AD9">
              <w:rPr>
                <w:b/>
                <w:bCs/>
                <w:color w:val="auto"/>
                <w:sz w:val="20"/>
                <w:szCs w:val="20"/>
              </w:rPr>
              <w:t>обрабатывающей промышленности</w:t>
            </w:r>
          </w:p>
          <w:p w14:paraId="5546CA00" w14:textId="77777777" w:rsidR="00633AAB" w:rsidRPr="009B77A7" w:rsidRDefault="00633AAB" w:rsidP="00633AAB">
            <w:pPr>
              <w:pStyle w:val="pc"/>
            </w:pPr>
          </w:p>
          <w:tbl>
            <w:tblPr>
              <w:tblW w:w="4004" w:type="dxa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4"/>
              <w:gridCol w:w="1980"/>
              <w:gridCol w:w="1170"/>
            </w:tblGrid>
            <w:tr w:rsidR="00633AAB" w:rsidRPr="009B77A7" w14:paraId="764D77EC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C03F37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Секция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45D2F5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BAE0C4" w14:textId="77777777" w:rsidR="00633AAB" w:rsidRPr="009B77A7" w:rsidRDefault="00633AAB" w:rsidP="00633AAB">
                  <w:pPr>
                    <w:pStyle w:val="pc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b/>
                      <w:bCs/>
                      <w:color w:val="auto"/>
                      <w:sz w:val="20"/>
                      <w:szCs w:val="20"/>
                    </w:rPr>
                    <w:t>Код ОКЭД</w:t>
                  </w:r>
                </w:p>
              </w:tc>
            </w:tr>
            <w:tr w:rsidR="00633AAB" w:rsidRPr="009B77A7" w14:paraId="2B6DD495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FE85D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6101D7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 и складирование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90573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49-53.</w:t>
                  </w:r>
                </w:p>
              </w:tc>
            </w:tr>
            <w:tr w:rsidR="00633AAB" w:rsidRPr="009B77A7" w14:paraId="476789B4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1338B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A3260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Грузовой железнодорожный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F7904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49.20</w:t>
                  </w:r>
                </w:p>
              </w:tc>
            </w:tr>
            <w:tr w:rsidR="00633AAB" w:rsidRPr="009B77A7" w14:paraId="7A3DFE22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1A8CE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9CD4A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Грузовые перевозки автомобильным транспортом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962CB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49.41</w:t>
                  </w:r>
                </w:p>
              </w:tc>
            </w:tr>
            <w:tr w:rsidR="00633AAB" w:rsidRPr="009B77A7" w14:paraId="7EEC99F2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4B4B3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91A0B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Транспортирование по трубопроводу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CEC873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49.50</w:t>
                  </w:r>
                </w:p>
              </w:tc>
            </w:tr>
            <w:tr w:rsidR="00633AAB" w:rsidRPr="009B77A7" w14:paraId="5C220ED4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DAE5A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A8301F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Морской и прибрежный грузовой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4AFEE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50.20</w:t>
                  </w:r>
                </w:p>
              </w:tc>
            </w:tr>
            <w:tr w:rsidR="00633AAB" w:rsidRPr="009B77A7" w14:paraId="38478D56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9FC13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C451E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Речной грузовой транспорт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867BC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50.40</w:t>
                  </w:r>
                </w:p>
              </w:tc>
            </w:tr>
            <w:tr w:rsidR="00633AAB" w:rsidRPr="009B77A7" w14:paraId="49C05CF6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05E274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CD372E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Складирование и хранение груза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CAE50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52.10</w:t>
                  </w:r>
                </w:p>
              </w:tc>
            </w:tr>
            <w:tr w:rsidR="00633AAB" w:rsidRPr="009B77A7" w14:paraId="6CC5C5A9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BB1E1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7F02B8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 xml:space="preserve"> Услуги в области сухопутного транспорта 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98321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52.21</w:t>
                  </w:r>
                </w:p>
              </w:tc>
            </w:tr>
            <w:tr w:rsidR="00633AAB" w:rsidRPr="009B77A7" w14:paraId="337A8DD1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CDE8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31BDE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Услуги в области водного транспорта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4E3CA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52.22</w:t>
                  </w:r>
                </w:p>
              </w:tc>
            </w:tr>
            <w:tr w:rsidR="00633AAB" w:rsidRPr="009B77A7" w14:paraId="7E32918B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9F642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D285E9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Услуги в области воздушного транспорта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680FC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52.23</w:t>
                  </w:r>
                </w:p>
              </w:tc>
            </w:tr>
            <w:tr w:rsidR="00633AAB" w:rsidRPr="009B77A7" w14:paraId="6EB455AC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06878A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8AB7B1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Транспортная обработка грузов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B5ACD5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52.24</w:t>
                  </w:r>
                </w:p>
              </w:tc>
            </w:tr>
            <w:tr w:rsidR="00633AAB" w:rsidRPr="009B77A7" w14:paraId="0A872B0C" w14:textId="77777777" w:rsidTr="00D72F4E">
              <w:trPr>
                <w:trHeight w:val="30"/>
              </w:trPr>
              <w:tc>
                <w:tcPr>
                  <w:tcW w:w="8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478FB6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610612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Прочие сопроводительные услуги при перевозках</w:t>
                  </w:r>
                </w:p>
              </w:tc>
              <w:tc>
                <w:tcPr>
                  <w:tcW w:w="11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32A8EC" w14:textId="77777777" w:rsidR="00633AAB" w:rsidRPr="009B77A7" w:rsidRDefault="00633AAB" w:rsidP="00633AAB">
                  <w:pPr>
                    <w:pStyle w:val="pc"/>
                    <w:rPr>
                      <w:color w:val="auto"/>
                      <w:sz w:val="20"/>
                      <w:szCs w:val="20"/>
                    </w:rPr>
                  </w:pPr>
                  <w:r w:rsidRPr="009B77A7">
                    <w:rPr>
                      <w:color w:val="auto"/>
                      <w:sz w:val="20"/>
                      <w:szCs w:val="20"/>
                    </w:rPr>
                    <w:t>52.29</w:t>
                  </w:r>
                </w:p>
              </w:tc>
            </w:tr>
          </w:tbl>
          <w:p w14:paraId="4150DD99" w14:textId="77777777" w:rsidR="00633AAB" w:rsidRPr="00421450" w:rsidRDefault="00633AAB" w:rsidP="00633A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</w:tcPr>
          <w:p w14:paraId="1F9747AA" w14:textId="77777777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Данные секции не относятся к обслуживанию обрабатывающей промышленности, поскольку не участвуют непосредственно в обеспечении производственного процесса, технологического цикла выпуска продукции и логистики. Услуги данных секторов носят универсальный характер, предоставляются субъектам всех отраслей экономики и не являются специфическими для нужд обрабатывающего производства.</w:t>
            </w:r>
          </w:p>
          <w:p w14:paraId="09A50640" w14:textId="77777777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Основной объем проектов приходится на обрабатывающую промышленность (около 82%) и транспорт с логистикой (около 14%). Доля информации и связи, а также профессиональной, научной и технической деятельности составляет лишь около 4% совокупно.</w:t>
            </w:r>
          </w:p>
          <w:p w14:paraId="565214D7" w14:textId="62FA2ED2" w:rsidR="00633AAB" w:rsidRPr="00421450" w:rsidRDefault="00A6239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низкой доли участия и отсутствия прямой связи с производственным процессом</w:t>
            </w:r>
            <w:r w:rsidR="00633AAB"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предлагается исключить секции J и M из перечня отраслей, обслуживающих обрабатывающую промышленность.</w:t>
            </w:r>
          </w:p>
        </w:tc>
      </w:tr>
      <w:bookmarkEnd w:id="0"/>
      <w:tr w:rsidR="00633AAB" w:rsidRPr="000841A8" w14:paraId="628DF52E" w14:textId="77777777" w:rsidTr="00D9155A">
        <w:trPr>
          <w:gridAfter w:val="1"/>
          <w:wAfter w:w="7" w:type="dxa"/>
          <w:trHeight w:val="777"/>
        </w:trPr>
        <w:tc>
          <w:tcPr>
            <w:tcW w:w="15127" w:type="dxa"/>
            <w:gridSpan w:val="5"/>
          </w:tcPr>
          <w:p w14:paraId="4B18938A" w14:textId="6E863DD0" w:rsidR="00633AAB" w:rsidRPr="00421450" w:rsidRDefault="00633AAB" w:rsidP="00633AAB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постановление Правительства Республики Казахстан от 11 марта 2015 года № 124</w:t>
            </w:r>
          </w:p>
          <w:p w14:paraId="3628D00E" w14:textId="77777777" w:rsidR="00633AAB" w:rsidRPr="00421450" w:rsidRDefault="00633AAB" w:rsidP="00633AAB">
            <w:pPr>
              <w:pStyle w:val="ad"/>
              <w:shd w:val="clear" w:color="auto" w:fill="FFFFFF" w:themeFill="background1"/>
              <w:ind w:left="396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«Об утверждении Плана совместных действий Правительства Республики Казахстан и Национального Банка Республики Казахстан </w:t>
            </w:r>
          </w:p>
          <w:p w14:paraId="720FC88E" w14:textId="08E0E11D" w:rsidR="00633AAB" w:rsidRPr="00421450" w:rsidRDefault="00633AAB" w:rsidP="00633AAB">
            <w:pPr>
              <w:pStyle w:val="ad"/>
              <w:shd w:val="clear" w:color="auto" w:fill="FFFFFF" w:themeFill="background1"/>
              <w:ind w:left="396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обеспечению финансирования субъектов предпринимательства в обрабатывающей промышленности»</w:t>
            </w:r>
          </w:p>
        </w:tc>
      </w:tr>
      <w:tr w:rsidR="00633AAB" w:rsidRPr="000841A8" w14:paraId="4981F3B8" w14:textId="77777777" w:rsidTr="00485ADE">
        <w:trPr>
          <w:gridAfter w:val="1"/>
          <w:wAfter w:w="7" w:type="dxa"/>
          <w:trHeight w:val="453"/>
        </w:trPr>
        <w:tc>
          <w:tcPr>
            <w:tcW w:w="15127" w:type="dxa"/>
            <w:gridSpan w:val="5"/>
          </w:tcPr>
          <w:p w14:paraId="74AE6754" w14:textId="5F1E0A04" w:rsidR="00633AAB" w:rsidRPr="00421450" w:rsidRDefault="00633AAB" w:rsidP="00633AAB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План совместных действий Правительства Республики Казахстан и Национального Банка Республики Казахстан </w:t>
            </w:r>
          </w:p>
          <w:p w14:paraId="7E5978F3" w14:textId="1A777ACA" w:rsidR="00633AAB" w:rsidRPr="00421450" w:rsidRDefault="00633AAB" w:rsidP="00633AAB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обеспечению финансирования субъектов предпринимательства в обрабатывающей промышленности</w:t>
            </w:r>
          </w:p>
        </w:tc>
      </w:tr>
      <w:tr w:rsidR="00633AAB" w:rsidRPr="000841A8" w14:paraId="700F6D17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07F19D86" w14:textId="1F27D3F8" w:rsidR="00633AAB" w:rsidRPr="00421450" w:rsidRDefault="00BC1E89" w:rsidP="00BC1E89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11.</w:t>
            </w:r>
          </w:p>
        </w:tc>
        <w:tc>
          <w:tcPr>
            <w:tcW w:w="2250" w:type="dxa"/>
          </w:tcPr>
          <w:p w14:paraId="6FF91E1C" w14:textId="3B1DC265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 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и механизмы обусловленного размещения средств в банках второго уровня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B34D308" w14:textId="4304FE86" w:rsidR="00633AAB" w:rsidRPr="00421450" w:rsidRDefault="00633AAB" w:rsidP="00633AAB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36F8E8A0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и механизмы обусловленного размещения средств в банках второго уровня</w:t>
            </w:r>
          </w:p>
          <w:p w14:paraId="65621A97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Госкомиссия одобряет перечень БВУ и суммы лимитов на них по первому и второму направлениям на 2015 год. </w:t>
            </w:r>
          </w:p>
          <w:p w14:paraId="2BAF343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 открывают отдельные банковские счета в НБ РК для проведения платежей из средств, выделяемых из НФ РК в рамках реализации настоящего Плана.</w:t>
            </w:r>
          </w:p>
          <w:p w14:paraId="6B5AAFC9" w14:textId="22BEFD01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НУХ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Байтерек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размещает на отдельном банковском счете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НБ РК сумму средств в соответствии с условиями заключенных кредитного договора и договора займа. </w:t>
            </w:r>
          </w:p>
          <w:p w14:paraId="5678DEB2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заключает кредитные соглашения с БВУ в соответствии с гражданским законодательством Республики Казахстан на следующих условиях: </w:t>
            </w:r>
          </w:p>
          <w:p w14:paraId="1BBB850D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размещение кредитных средств на отдельных банковских счетах БВУ в НБ РК без обеспечения в пределах лимитов, одобренных Госкомиссией; </w:t>
            </w:r>
          </w:p>
          <w:p w14:paraId="11571018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ставка вознаграждения - не более 2 % годовых; </w:t>
            </w:r>
          </w:p>
          <w:p w14:paraId="32421B81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срок кредитования БВУ — до 20 лет; </w:t>
            </w:r>
          </w:p>
          <w:p w14:paraId="26462B45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срок освоения БВУ кредитных средств с даты поступления средств на счет БВУ: </w:t>
            </w:r>
          </w:p>
          <w:p w14:paraId="51C11DE7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/>
                <w:sz w:val="20"/>
                <w:szCs w:val="20"/>
              </w:rPr>
              <w:t>12 месяцев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по кредитам, выдаваемым на инвестиционные цели; </w:t>
            </w:r>
          </w:p>
          <w:p w14:paraId="6F59CA48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/>
                <w:sz w:val="20"/>
                <w:szCs w:val="20"/>
              </w:rPr>
              <w:t>6 месяцев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по кредитам, выдаваемым на цели пополнения оборотных средств и рефинансирования ранее выданных займов БВУ; </w:t>
            </w:r>
          </w:p>
          <w:p w14:paraId="658837C2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валюта кредитования БВУ — тенге; </w:t>
            </w:r>
          </w:p>
          <w:p w14:paraId="3DA714B8" w14:textId="77777777" w:rsidR="00BC1E89" w:rsidRP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6) для БВУ разница между ставкой привлечения средств от АО «ФРП «Даму» и ставкой кредитования СМСП не должна превышать 4,0 % годовых; </w:t>
            </w:r>
          </w:p>
          <w:p w14:paraId="1382D55B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7) в рамках кредитного соглашения, заключенного между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БВУ: </w:t>
            </w:r>
          </w:p>
          <w:p w14:paraId="3142AB0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более 25 % от лимита на БВУ, одобренных Госкомиссией, составляет доля займов, направляемых БВУ на рефинансирование займов, выданных СМСП в обрабатывающей промышленности; </w:t>
            </w:r>
          </w:p>
          <w:p w14:paraId="527CB814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более 25 % от лимита на БВУ, одобренных Госкомиссией, составляет доля займов, направляемых БВУ на цели пополнения оборотных средств СМСП в обрабатывающей промышленности; </w:t>
            </w:r>
          </w:p>
          <w:p w14:paraId="69688F01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менее 50 % от лимита на БВУ, одобренных Госкомиссией, составляет доля займов, направляемых БВУ на финансирование новых проектов СМСП в обрабатывающей промышленности. </w:t>
            </w:r>
          </w:p>
          <w:p w14:paraId="06C5D209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этом, не менее 25 % от лимита на БВУ, одобренных Госкомиссией, составляет доля займов, направляемых БВУ на финансирование и рефинансирование проектов СМСП в пищевой промышленности.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F877926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2019 года 25 млрд. тенге за счет возвратных средств от финансирования СМСП будут направлены на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 </w:t>
            </w:r>
          </w:p>
          <w:p w14:paraId="2A93B584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/экспортное финансирование – финансирование проекта СМСП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СМСП на осуществление инвестиционных затрат с целью последующего производства продукции для экспорта. </w:t>
            </w:r>
          </w:p>
          <w:p w14:paraId="5255252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Соблюдение пропорций, предусмотренных подпунктом 7) пункта 4, не распространяется на вторичное размещение средств БВУ. </w:t>
            </w:r>
          </w:p>
          <w:p w14:paraId="14E40E0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заключает договора банковского займа с БВУ в соответствии с гражданским законодательством Республики Казахстан на следующих условиях: </w:t>
            </w:r>
          </w:p>
          <w:p w14:paraId="07C1A9DC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размещение кредитных средств на отдельных банковских счетах БВУ в НБ РК без обеспечения в пределах лимитов, одобренных Госкомиссией; </w:t>
            </w:r>
          </w:p>
          <w:p w14:paraId="69F929F3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ставка вознаграждения - не более 2 % годовых; </w:t>
            </w:r>
          </w:p>
          <w:p w14:paraId="0CEF1ED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срок кредитования БВУ — до 20 лет; </w:t>
            </w:r>
          </w:p>
          <w:p w14:paraId="10759CE0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срок освоения БВУ кредитных средств с даты заключения между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«Б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 договора банковского займа/дополнительного соглашения об изменении лимитов: </w:t>
            </w:r>
          </w:p>
          <w:p w14:paraId="00550D51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18 - месяцев по кредитам, выдаваемым на инвестиционные цели; </w:t>
            </w:r>
          </w:p>
          <w:p w14:paraId="6211B155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6 - месяцев по кредитам, выдаваемым на цели пополнения оборотных средств и рефинансирования ранее выданных займов БВУ; </w:t>
            </w:r>
          </w:p>
          <w:p w14:paraId="61C9B32A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валюта кредитования БВУ - тенге; </w:t>
            </w:r>
          </w:p>
          <w:p w14:paraId="08BF2D76" w14:textId="4772B41D" w:rsidR="00BC1E89" w:rsidRPr="00430EE5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6) для БВУ разница между ставкой привлечения средств от АО «БРК» и ставкой кредитования субъектов СКП не должна превышать 4,0 % годовых; </w:t>
            </w:r>
          </w:p>
          <w:p w14:paraId="549B932E" w14:textId="77777777" w:rsidR="00BC1E89" w:rsidRPr="00430EE5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7) в рамках договора банковского займа, заключенного между АО «БРК» и БВУ: не более 50% от лимита на БВУ, одобренного Госкомиссией, составляет доля займов, направляемых БВУ на рефинансирование займов, выданных СКП; </w:t>
            </w:r>
          </w:p>
          <w:p w14:paraId="579C7378" w14:textId="77777777" w:rsidR="00BC1E89" w:rsidRPr="00430EE5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более 25% от лимита на БВУ, одобренного Госкомиссией, составляет доля займов, направляемых БВУ на цели пополнения оборотных средств СКП; </w:t>
            </w:r>
          </w:p>
          <w:p w14:paraId="0977B71D" w14:textId="6F6A2F10" w:rsidR="00BC1E89" w:rsidRP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>не менее 25% от лимита на БВУ, одобренного Госкомиссией, составляет доля займов, направляемых БВУ на финансирование новых проектов СКП.</w:t>
            </w:r>
            <w:r w:rsidRPr="00BC1E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2ABC8FA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2019 года 25 млрд. тенге за счет средств, высвобождаемых по мере закрытия действующих кредитных линий СКП, будут направлены на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/экспортное финансирование и/или финансирование экспортоориентированных проектов СКП на револьверной основе до конца срока обращения средств Национального фонда. </w:t>
            </w:r>
          </w:p>
          <w:p w14:paraId="3711C5DD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/экспортное финансирование – финансирование проекта СКП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СКП на осуществление инвестиционных затрат с целью последующего производства продукции для экспорта. </w:t>
            </w:r>
          </w:p>
          <w:p w14:paraId="70341B15" w14:textId="3349F391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Соблюдение пропорций не распространяется на вторичное размещение средств БВУ. </w:t>
            </w:r>
          </w:p>
          <w:p w14:paraId="0ABDC885" w14:textId="5B702ABC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 БВУ отчитываются перед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целевому использованию и освоению размещенных кредитных средств. 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соглашением, договором банковского займа. При отборе для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предэкспортного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 не менее 5 % после 1 (одного) финансового года с даты начала финансирования такого проекта. Допускается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 финансирование экспортоориентированных проектов, обеспечивающих сохранение объемов экспортной выручки СКП/СМСП на уровне среднегодового объема экспортной выручки за предыдущие 2 (два) года до принятия решения о финансировании такого проекта. БВУ запрещается направлять выделяемые средства на реализацию проектов, которые не входят в перечень сфер обрабатывающей промышленности для финансирования проектов СМСП и СКП, определенных Госкомиссией. БВУ запрещается направлять выделяемые средства на инвестирование в финансовые инструменты и/или операции с ними, а также на валютный рынок для покупки иностранной валюты. БВУ на ежемесячной основе осуществляют зачисление средств, высвободившихся за счет погашения ранее выданных займов СМСП, на свои отдельные банковские счета в НБРК. При этом БВУ в течение трех месяцев направляют их на дальнейшее кредитование СМСП либо досрочно возвращают на отдельные банковские счета АО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</w:t>
            </w:r>
            <w:proofErr w:type="gramStart"/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НБ РК. БВУ на ежемесячной основе осуществляют зачисление средств, высвободившихся за счет погашения ранее выданных займов СКП, на свои отдельные банковские счета в НБРК. При этом БВУ в течение срока, установленного договорами займа, заключенными между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БВУ, направляют их на дальнейшее кредитование СКП. В случае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неразмещения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средств в сроки, указанные в кредитных соглашениях и (или) договорах займа,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вправе потребовать от БВУ досрочного погашения неразмещенной части средств. </w:t>
            </w:r>
          </w:p>
          <w:p w14:paraId="10E94A2E" w14:textId="77777777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 Годовая эффективная ставка вознаграждения в рамках финансирования проектов СМСП и СКП определяется в соответствии с требованиями НБ РК. Комиссии, сборы и/или иные платежи, связанные с займом субъекта предпринимательства, не взимаются, за исключением комиссий, сборов и/или иных платежей, взимаемых по причине нарушения субъектами предпринимательства обязательств по займу. СМСП и СКП оплачивают расходы по оценке и страхованию имущества. </w:t>
            </w:r>
          </w:p>
          <w:p w14:paraId="150D7867" w14:textId="2D9301B8" w:rsidR="00BC1E89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8. В случаях нецелевого использования, полного или частичного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неосвоения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 размещаемых средств, а также при наступлении иных случаев, предусмотренных кредитным соглашением или договором банковского займа,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применяют в отношении БВУ меры согласно условиям кредитного соглашения, договора банковского займа, в том числе вправе инициировать вопрос досрочного расторжения кредитных соглашений, договора банковского займа и/или отзыва размещенных средств с дальнейшим их перераспределением среди других БВУ, и/или уступки портфеля БВУ (прав (требований) к СМСП/СКП по договорам банковского займа). Перераспределение отозванных, досрочно погашенных БВУ средств, а также уступка портфеля БВУ (прав (требований) к СМСП/СКП по договорам банковского займа) другому БВУ осуществляются среди БВУ на основании соответствующего решения Госкомиссии. </w:t>
            </w:r>
          </w:p>
          <w:p w14:paraId="1490B0F7" w14:textId="1F61644B" w:rsidR="00633AAB" w:rsidRPr="00421450" w:rsidRDefault="00BC1E89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Условия, указанные в пункте 2, подпунктах 6) и 7) пункта 4, подпунктах 6) и 7) пункта 5, пунктах 6, 7 и 8 настоящего подраздела, не распространяются на займы, выданные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222F994F" w14:textId="0C7DEF3B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и механизмы обусловленного размещения средств в банках второго уровня</w:t>
            </w:r>
          </w:p>
          <w:p w14:paraId="17192459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1. Госкомиссия одобряет перечень БВУ и суммы лимитов на них по первому и второму направлениям на 2015 год.</w:t>
            </w:r>
          </w:p>
          <w:p w14:paraId="3A942A19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2. АО «ФРП «Даму», АО «БРК» и БВУ открывают отдельные банковские счета в НБ РК для проведения платежей из средств, выделяемых из НФ РК в рамках реализации настоящего Плана.</w:t>
            </w:r>
          </w:p>
          <w:p w14:paraId="611FCAA9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3. АО «НУХ «Байтерек» размещает на отдельном банковском счете АО «ФРП «Даму» и АО «БРК» в НБ РК сумму средств в соответствии с условиями заключенных кредитного договора и договора займа.</w:t>
            </w:r>
          </w:p>
          <w:p w14:paraId="1BAE9D79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4. АО «ФРП «Даму» заключает кредитные соглашения с БВУ в соответствии с гражданским законодательством Республики Казахстан на следующих условиях:</w:t>
            </w:r>
          </w:p>
          <w:p w14:paraId="14DBE9E6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1) размещение кредитных средств на отдельных банковских счетах БВУ в НБ РК без обеспечения в пределах лимитов, одобренных Госкомиссией;</w:t>
            </w:r>
          </w:p>
          <w:p w14:paraId="53A8E635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2) ставка вознаграждения - не более 2 % годовых;</w:t>
            </w:r>
          </w:p>
          <w:p w14:paraId="11946E4D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3) срок кредитования БВУ — до 20 лет;</w:t>
            </w:r>
          </w:p>
          <w:p w14:paraId="06583ACC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4) срок освоения БВУ кредитных средств с даты поступления средств на счет БВУ:</w:t>
            </w:r>
          </w:p>
          <w:p w14:paraId="01D447C8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>3 месяца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по кредитам, выдаваемым на инвестиционные цели;</w:t>
            </w:r>
          </w:p>
          <w:p w14:paraId="47D26274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>3 месяца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по кредитам, выдаваемым на цели пополнения оборотных средств и рефинансирования ранее выданных займов БВУ.</w:t>
            </w:r>
          </w:p>
          <w:p w14:paraId="6D17C8B8" w14:textId="77777777" w:rsidR="00BC1E89" w:rsidRPr="000A7BB7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года;</w:t>
            </w:r>
          </w:p>
          <w:p w14:paraId="447C1DC0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5) валюта кредитования БВУ — тенге;</w:t>
            </w:r>
          </w:p>
          <w:p w14:paraId="688E1F98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6) в рамках кредитного соглашения, заключенного между АО «ФРП «Даму» и БВУ:</w:t>
            </w:r>
          </w:p>
          <w:p w14:paraId="2F5F0A0C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 более 25 % от лимита на БВУ, одобренных Госкомиссией, составляет доля займов, направляемых БВУ на рефинансирование займов, выданных СМСП в обрабатывающей промышленности;</w:t>
            </w:r>
          </w:p>
          <w:p w14:paraId="6C11438D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 более 25 % от лимита на БВУ, одобренных Госкомиссией, составляет доля займов, направляемых БВУ на цели пополнения оборотных средств СМСП в обрабатывающей промышленности;</w:t>
            </w:r>
          </w:p>
          <w:p w14:paraId="6D596637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 менее 50 % от лимита на БВУ, одобренных Госкомиссией, составляет доля займов, направляемых БВУ на финансирование новых проектов СМСП в обрабатывающей промышленности.</w:t>
            </w:r>
          </w:p>
          <w:p w14:paraId="19B33EB3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2019 года 25 млрд. тенге за счет возвратных средств от финансирования СМСП будут направлены на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</w:t>
            </w:r>
          </w:p>
          <w:p w14:paraId="0C79101A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– финансирование проекта СМСП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СМСП на осуществление инвестиционных затрат с целью последующего производства продукции для экспорта.</w:t>
            </w:r>
          </w:p>
          <w:p w14:paraId="1B6B7C54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Соблюдение пропорций, предусмотренных подпунктом 7) пункта 4, не распространяется на вторичное размещение средств БВУ.</w:t>
            </w:r>
          </w:p>
          <w:p w14:paraId="058D75EA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5. АО «БРК» заключает договора банковского займа с БВУ в соответствии с гражданским законодательством Республики Казахстан на следующих условиях:</w:t>
            </w:r>
          </w:p>
          <w:p w14:paraId="1EF14BDB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1) размещение кредитных средств на отдельных банковских счетах БВУ в НБ РК без обеспечения в пределах лимитов, одобренных Госкомиссией;</w:t>
            </w:r>
          </w:p>
          <w:p w14:paraId="29F7CCBA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2) ставка вознаграждения - не более 2 % годовых;</w:t>
            </w:r>
          </w:p>
          <w:p w14:paraId="2275CFF1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3) срок кредитования БВУ — до 20 лет;</w:t>
            </w:r>
          </w:p>
          <w:p w14:paraId="1CB71842" w14:textId="0BEAB599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срок освоения БВУ кредитных средств с даты заключения между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 договора банковского займа/дополнительного соглашения об изменении лимитов:</w:t>
            </w:r>
          </w:p>
          <w:p w14:paraId="372A6F4C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18 - месяцев по кредитам, выдаваемым на инвестиционные цели;</w:t>
            </w:r>
          </w:p>
          <w:p w14:paraId="71FC8FD9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6 - месяцев по кредитам, выдаваемым на цели пополнения оборотных средств и рефинансирования ранее выданных займов БВУ;</w:t>
            </w:r>
          </w:p>
          <w:p w14:paraId="01275E7D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5) валюта кредитования БВУ - тенге;</w:t>
            </w:r>
          </w:p>
          <w:p w14:paraId="5E608F31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2019 года 25 млрд. тенге за счет средств, высвобождаемых по мере закрытия действующих кредитных линий СКП, будут направлены на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 финансирование экспортоориентированных проектов СКП на револьверной основе до конца срока обращения средств Национального фонда.</w:t>
            </w:r>
          </w:p>
          <w:p w14:paraId="396223F8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– финансирование проекта СКП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СКП на осуществление инвестиционных затрат с целью последующего производства продукции для экспорта.</w:t>
            </w:r>
          </w:p>
          <w:p w14:paraId="050AA5E2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Соблюдение пропорций не распространяется на вторичное размещение средств БВУ.</w:t>
            </w:r>
          </w:p>
          <w:p w14:paraId="048A78D7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6. БВУ отчитываются перед АО «ФРП «Даму» и АО «БРК» по целевому использованию и освоению размещенных кредитных средств.</w:t>
            </w:r>
          </w:p>
          <w:p w14:paraId="4F4A8A40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соглашением, договором банковского займа. При отборе для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предэкспортного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 не менее 5 % после 1 (одного) финансового года с даты начала финансирования такого проекта. Допускается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предэкспортное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/экспортное финансирование и/или финансирование экспортоориентированных проектов, обеспечивающих сохранение объемов экспортной выручки СКП/СМСП на уровне среднегодового объема экспортной выручки за предыдущие 2 (два) года до принятия решения о финансировании такого проекта.</w:t>
            </w:r>
          </w:p>
          <w:p w14:paraId="79A6914A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БВУ запрещается направлять выделяемые средства на реализацию проектов, которые не входят в перечень сфер обрабатывающей промышленности для финансирования проектов СМСП и СКП, определенных Госкомиссией.</w:t>
            </w:r>
          </w:p>
          <w:p w14:paraId="0620AE23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БВУ запрещается направлять выделяемые средства на инвестирование в финансовые инструменты и/или операции с ними, а также на валютный рынок для покупки иностранной валюты.</w:t>
            </w:r>
          </w:p>
          <w:p w14:paraId="2EC517B5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БВУ на ежемесячной основе осуществляют зачисление средств, высвободившихся за счет погашения ранее выданных займов СМСП, на свои отдельные банковские счета в НБРК. При этом БВУ в течение трех месяцев направляют их на дальнейшее кредитование СМСП либо досрочно возвращают на отдельные банковские счета АО «ФРП «Даму» в НБ РК.</w:t>
            </w:r>
          </w:p>
          <w:p w14:paraId="5A2B4DEC" w14:textId="25BFD9B4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БВУ на ежемесячной основе осуществляют зачисление средств, высвободившихся за счет погашения ранее выданных займов СКП, на свои отдельные банковские счета в НБРК. При этом БВУ в течение срока, установленного договорами займа, заключенными между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БВУ, направляют их на дальнейшее кредитование СКП. В случае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неразмещения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средств в сроки, указанные в кредитных соглашениях и (или) договорах займа,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вправе потребовать от БВУ досрочного погашения неразмещенной части средств.</w:t>
            </w:r>
          </w:p>
          <w:p w14:paraId="4A594866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7. Годовая эффективная ставка вознаграждения в рамках финансирования проектов СМСП и СКП определяется в соответствии с требованиями НБ РК.</w:t>
            </w:r>
          </w:p>
          <w:p w14:paraId="5E3B5FF2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Комиссии, сборы и/или иные платежи, связанные с займом субъекта предпринимательства, не взимаются, за исключением комиссий, сборов и/или иных платежей, взимаемых по причине нарушения субъектами предпринимательства обязательств по займу.</w:t>
            </w:r>
          </w:p>
          <w:p w14:paraId="26DCC086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СМСП и СКП оплачивают расходы по оценке и страхованию имущества.</w:t>
            </w:r>
          </w:p>
          <w:p w14:paraId="7DD2A6F3" w14:textId="77777777" w:rsidR="00BC1E89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8. В случаях нецелевого использования, полного или частичного 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неосвоения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БВУ размещаемых средств, а также при наступлении иных случаев, предусмотренных кредитным соглашением или договором банковского займа, АО «ФРП «Даму», АО «БРК» применяют в отношении БВУ меры согласно условиям кредитного соглашения, договора банковского займа, в том числе вправе инициировать вопрос досрочного расторжения кредитных соглашений, договора банковского займа и/или отзыва размещенных средств с дальнейшим их перераспределением среди других БВУ, и/или уступки портфеля БВУ (прав (требований) к СМСП/СКП по договорам банковского займа). Перераспределение отозванных, досрочно погашенных БВУ средств, а также уступка портфеля БВУ (прав (требований) к СМСП/СКП по договорам банковского займа) другому БВУ осуществляются среди БВУ на основании соответствующего решения Госкомиссии.</w:t>
            </w:r>
          </w:p>
          <w:p w14:paraId="0DE1C0D6" w14:textId="155BA30E" w:rsidR="00633AAB" w:rsidRPr="00BC1E89" w:rsidRDefault="00BC1E89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9. Условия, указанные в пункте 2, подпунктах 6) и 7) пункта 4, подпунктах 6) и 7) пункта 5, пунктах 6, 7 и 8 настоящего подраздела, не распространяются на займы, выданные АО «</w:t>
            </w:r>
            <w:proofErr w:type="spellStart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 w:rsidRPr="00BC1E89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3337" w:type="dxa"/>
          </w:tcPr>
          <w:p w14:paraId="6494F42E" w14:textId="77777777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1 Сравнительной таблицы.</w:t>
            </w:r>
          </w:p>
          <w:p w14:paraId="28AF81B3" w14:textId="615C560F" w:rsidR="00633AAB" w:rsidRPr="00421450" w:rsidRDefault="00633AAB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75755E91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5923E852" w14:textId="4B05FC2E" w:rsidR="000A7BB7" w:rsidRDefault="000A7BB7" w:rsidP="00BC1E89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12.</w:t>
            </w:r>
          </w:p>
        </w:tc>
        <w:tc>
          <w:tcPr>
            <w:tcW w:w="2250" w:type="dxa"/>
          </w:tcPr>
          <w:p w14:paraId="32D04A77" w14:textId="6272B2B4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 «Условия финансирования субъектов малого и среднего</w:t>
            </w:r>
          </w:p>
          <w:p w14:paraId="51947A8A" w14:textId="7BC57DA9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 в обрабатывающей промышленности»</w:t>
            </w:r>
          </w:p>
        </w:tc>
        <w:tc>
          <w:tcPr>
            <w:tcW w:w="4500" w:type="dxa"/>
          </w:tcPr>
          <w:p w14:paraId="1F804360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финансирования субъектов малого и среднего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предпринимательства в обрабатывающей промышленности</w:t>
            </w:r>
          </w:p>
          <w:p w14:paraId="30B4FE94" w14:textId="77777777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Целевая группа – СМСП, реализующие и (или) планирующие реализовать проекты в обрабатывающей промышленности по первому направлению. </w:t>
            </w:r>
          </w:p>
          <w:p w14:paraId="07E557DE" w14:textId="77777777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Участниками не могут быть СМСП: </w:t>
            </w:r>
          </w:p>
          <w:p w14:paraId="38747929" w14:textId="77777777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 </w:t>
            </w:r>
          </w:p>
          <w:p w14:paraId="38FE1A06" w14:textId="0739335F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 </w:t>
            </w:r>
          </w:p>
          <w:p w14:paraId="5ADBC159" w14:textId="1FCE3A4D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В целях кредитования одобренных заявок СМСП БВУ осуществляют предварительное согласование с АО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 w:rsidR="0032766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выезда на место реализации проекта СМСП.</w:t>
            </w:r>
          </w:p>
          <w:p w14:paraId="7DC9037A" w14:textId="77777777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4. Кредиты предоставляются СМСП на условиях целевого использования, платности, срочности, возвратности и обеспеченности, в том числе: </w:t>
            </w:r>
          </w:p>
          <w:p w14:paraId="019A2509" w14:textId="77777777" w:rsidR="000A7BB7" w:rsidRDefault="000A7BB7" w:rsidP="00BC1E89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максимальный лимит финансирования на одного СМСП для всех кредитов, выданных за счет средств НФ РК, </w:t>
            </w: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>– 3600000000 (три миллиарда шестьсот миллионов) тенге, за исключением проектов в сфере пищевой промышленности, по которым лимит отсутствует;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EC12B59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2) срок кредитования: на новые проекты и рефинансирование действующих инвестиционных займов СМСП - не более 10 лет;</w:t>
            </w:r>
          </w:p>
          <w:p w14:paraId="4C3682BE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пополнение оборотных средств и рефинансирование действующих займов, выданных на цели пополнения оборотных средств -</w:t>
            </w: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более 5 лет;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06771D6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3) номинальная ставка вознаграждения для СМСП - не более 6,0 % годовых; </w:t>
            </w:r>
          </w:p>
          <w:p w14:paraId="4FE4ECE0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валюта кредитования - тенге. </w:t>
            </w:r>
          </w:p>
          <w:p w14:paraId="305174B4" w14:textId="0287BA43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 Условия настоящего подраздела не распространяются на займы, выданные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482DD76D" w14:textId="040D050F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В случае кредитования проекта в сфере пищевой промышленности на сумму свыше 500000000 (пятьсот миллионов) тенге, необходимо положительное заключение уполномоченного органа в области развития агропромышленного комплекса (далее - уполномоченный орган). Для этого АО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ФРП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>Даму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0A7B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направляет уполномоченному органу запрос и следующую информацию: краткая информация по проекту, мощность проекта, производимый продукт, место реализации проекта (область, район, населенный пункт), наличие сырьевой базы, потенциальные рынки сбыта. Уполномоченный орган в течение 7 (семь) рабочих дней после даты получения запроса представляет заключение об отраслевой целесообразности или нецелесообразности финансирования проекта.</w:t>
            </w:r>
          </w:p>
        </w:tc>
        <w:tc>
          <w:tcPr>
            <w:tcW w:w="4500" w:type="dxa"/>
          </w:tcPr>
          <w:p w14:paraId="7D7DAA01" w14:textId="5CE7C485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финансирования субъектов малого и среднего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предпринимательства в обрабатывающей промышленности</w:t>
            </w:r>
          </w:p>
          <w:p w14:paraId="58EFDFF3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1. Целевая группа – СМСП, реализующие и (или) планирующие реализовать проекты в обрабатывающей промышленности по первому направлению.</w:t>
            </w:r>
          </w:p>
          <w:p w14:paraId="056F4339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2. Участниками не могут быть СМСП:</w:t>
            </w:r>
          </w:p>
          <w:p w14:paraId="1872A24C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00C9071E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</w:t>
            </w:r>
          </w:p>
          <w:p w14:paraId="3B22C4A5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3. В целях кредитования одобренных заявок СМСП БВУ осуществляют предварительное согласование с АО «ФРП «Даму»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«ФРП «Даму» после выезда на место реализации проекта СМСП.</w:t>
            </w:r>
          </w:p>
          <w:p w14:paraId="3FDEB101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4. Кредиты предоставляются СМСП на условиях целевого использования, платности, срочности, возвратности и обеспеченности, в том числе:</w:t>
            </w:r>
          </w:p>
          <w:p w14:paraId="5D39481B" w14:textId="77777777" w:rsidR="000A7BB7" w:rsidRPr="00430EE5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максимальный лимит финансирования на одного </w:t>
            </w: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>СМСП/на группу связанных лиц 7 000 000 000 (семь миллиардов) тенге, с учетом действующих обязательств по всем программам обусловленного размещения средств АО «ФРП «Даму»;</w:t>
            </w:r>
          </w:p>
          <w:p w14:paraId="79901E5A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2) срок кредитования:</w:t>
            </w:r>
          </w:p>
          <w:p w14:paraId="28E96E23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на новые проекты и рефинансирование действующих инвестиционных займов СМСП - не более 10 лет;</w:t>
            </w:r>
          </w:p>
          <w:p w14:paraId="1E330FE8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пополнение оборотных средств и рефинансирование действующих займов, выданных на цели пополнения оборотных средств – </w:t>
            </w: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3 лет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F5ECEF" w14:textId="026E7EE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</w:t>
            </w:r>
            <w:r w:rsidRPr="00430EE5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номинальная ставка вознаграждения для СМСП – 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</w:t>
            </w:r>
            <w:r w:rsidR="00430EE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208F4266" w14:textId="77777777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4) валюта кредитования - тенге.</w:t>
            </w:r>
          </w:p>
          <w:p w14:paraId="21AE3B87" w14:textId="32F31806" w:rsidR="000A7BB7" w:rsidRPr="00BC1E89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5. Условия настоящего подраздела не распространяются на займы, выданные АО «</w:t>
            </w:r>
            <w:proofErr w:type="spellStart"/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Цеснабанк</w:t>
            </w:r>
            <w:proofErr w:type="spellEnd"/>
            <w:r w:rsidRPr="000A7BB7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3337" w:type="dxa"/>
          </w:tcPr>
          <w:p w14:paraId="6D4FD3B1" w14:textId="0152D38C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2 Сравнительной таблицы.</w:t>
            </w:r>
          </w:p>
          <w:p w14:paraId="342E7619" w14:textId="77777777" w:rsidR="000A7BB7" w:rsidRPr="00421450" w:rsidRDefault="000A7BB7" w:rsidP="00633AAB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0B07ED8F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4F7614B7" w14:textId="7572CE25" w:rsidR="000A7BB7" w:rsidRDefault="000A7BB7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13.</w:t>
            </w:r>
          </w:p>
        </w:tc>
        <w:tc>
          <w:tcPr>
            <w:tcW w:w="2250" w:type="dxa"/>
          </w:tcPr>
          <w:p w14:paraId="1964FAD8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3) </w:t>
            </w:r>
          </w:p>
          <w:p w14:paraId="51F7F9F9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4</w:t>
            </w:r>
          </w:p>
          <w:p w14:paraId="0005860E" w14:textId="313DA691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подраздела «Условия финансирования субъектов крупного предпринимательства в обрабатывающей промышленности»</w:t>
            </w:r>
          </w:p>
        </w:tc>
        <w:tc>
          <w:tcPr>
            <w:tcW w:w="4500" w:type="dxa"/>
          </w:tcPr>
          <w:p w14:paraId="6EF464D4" w14:textId="252BCBBD" w:rsidR="000A7BB7" w:rsidRP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СКП -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6,0 %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годовых;</w:t>
            </w:r>
          </w:p>
        </w:tc>
        <w:tc>
          <w:tcPr>
            <w:tcW w:w="4500" w:type="dxa"/>
          </w:tcPr>
          <w:p w14:paraId="30CD1D7E" w14:textId="2AA915AB" w:rsidR="000A7BB7" w:rsidRPr="000A7BB7" w:rsidRDefault="005E36B9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СКП - </w:t>
            </w:r>
            <w:r w:rsidRPr="00A75C52"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уровня;</w:t>
            </w:r>
          </w:p>
        </w:tc>
        <w:tc>
          <w:tcPr>
            <w:tcW w:w="3337" w:type="dxa"/>
          </w:tcPr>
          <w:p w14:paraId="7FA34928" w14:textId="7A981A99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2 Сравнительной таблицы.</w:t>
            </w:r>
          </w:p>
          <w:p w14:paraId="47F13195" w14:textId="64071AFD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18465F85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45EB6CBD" w14:textId="30454B54" w:rsidR="000A7BB7" w:rsidRPr="00421450" w:rsidRDefault="000A7BB7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14</w:t>
            </w:r>
            <w:r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512C8A89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часть вторая </w:t>
            </w:r>
          </w:p>
          <w:p w14:paraId="34CB984A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3</w:t>
            </w:r>
          </w:p>
          <w:p w14:paraId="73B75B29" w14:textId="019E25A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подраздела «Мониторинг»</w:t>
            </w:r>
          </w:p>
        </w:tc>
        <w:tc>
          <w:tcPr>
            <w:tcW w:w="4500" w:type="dxa"/>
          </w:tcPr>
          <w:p w14:paraId="5C311F31" w14:textId="2B17382F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«ФРП «Даму» и АО «БРК» представляют информацию, полученную от БВУ в соответствии с условиями настоящего пункта,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контролю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НФ РК,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распоряжением Президента Республики Казахстан от 18 апреля 2014 года № 281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- Комиссия) и АО </w:t>
            </w:r>
            <w:r w:rsidRPr="00C30F58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C30F58">
              <w:rPr>
                <w:rFonts w:ascii="Times New Roman" w:hAnsi="Times New Roman" w:cs="Times New Roman"/>
                <w:sz w:val="20"/>
                <w:szCs w:val="20"/>
              </w:rPr>
              <w:t>НУХ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«Байтерек».</w:t>
            </w:r>
          </w:p>
        </w:tc>
        <w:tc>
          <w:tcPr>
            <w:tcW w:w="4500" w:type="dxa"/>
          </w:tcPr>
          <w:p w14:paraId="638678D5" w14:textId="34D3259D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«ФРП «Даму» и АО «БРК» представляют информацию, полученную от БВУ в соответствии с условиями настоящего пункта, в Комиссию по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мониторингу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расходованием средств, выделенных из НФ РК, образованную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Указом Президента Республики Казахстан от 19 мая 2025 года №879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Комиссия) и АО </w:t>
            </w:r>
            <w:r w:rsidRPr="00C30F58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C30F58">
              <w:rPr>
                <w:rFonts w:ascii="Times New Roman" w:hAnsi="Times New Roman" w:cs="Times New Roman"/>
                <w:sz w:val="20"/>
                <w:szCs w:val="20"/>
              </w:rPr>
              <w:t>НУХ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«Байтерек».</w:t>
            </w:r>
          </w:p>
        </w:tc>
        <w:tc>
          <w:tcPr>
            <w:tcW w:w="3337" w:type="dxa"/>
          </w:tcPr>
          <w:p w14:paraId="4071836B" w14:textId="605CC00F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4 Сравнительной таблицы.</w:t>
            </w:r>
          </w:p>
          <w:p w14:paraId="38D68202" w14:textId="3841694D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508FEAC7" w14:textId="77777777" w:rsidTr="00D72F4E">
        <w:trPr>
          <w:gridAfter w:val="1"/>
          <w:wAfter w:w="7" w:type="dxa"/>
          <w:trHeight w:val="653"/>
        </w:trPr>
        <w:tc>
          <w:tcPr>
            <w:tcW w:w="15127" w:type="dxa"/>
            <w:gridSpan w:val="5"/>
          </w:tcPr>
          <w:p w14:paraId="6527DE8F" w14:textId="706FA0B2" w:rsidR="000A7BB7" w:rsidRPr="00421450" w:rsidRDefault="000A7BB7" w:rsidP="000A7BB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постановление Правительства Республики Казахстан от 23 апреля 2015 года № 271 «Об утверждении Плана совместных действий</w:t>
            </w:r>
          </w:p>
          <w:p w14:paraId="785D2D91" w14:textId="77777777" w:rsidR="000A7BB7" w:rsidRPr="00421450" w:rsidRDefault="000A7BB7" w:rsidP="000A7BB7">
            <w:pPr>
              <w:pStyle w:val="ad"/>
              <w:shd w:val="clear" w:color="auto" w:fill="FFFFFF" w:themeFill="background1"/>
              <w:ind w:left="396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Правительства Республики Казахстан и Национального Банка Республики Казахстан </w:t>
            </w:r>
          </w:p>
          <w:p w14:paraId="430FCF49" w14:textId="413A65B8" w:rsidR="000A7BB7" w:rsidRPr="00421450" w:rsidRDefault="000A7BB7" w:rsidP="000A7BB7">
            <w:pPr>
              <w:pStyle w:val="ad"/>
              <w:shd w:val="clear" w:color="auto" w:fill="FFFFFF" w:themeFill="background1"/>
              <w:ind w:left="39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обеспечению финансирования отечественных производителей и экспортеров»</w:t>
            </w:r>
          </w:p>
        </w:tc>
      </w:tr>
      <w:tr w:rsidR="000A7BB7" w:rsidRPr="000841A8" w14:paraId="2F95BEF7" w14:textId="77777777" w:rsidTr="000E77E7">
        <w:trPr>
          <w:gridAfter w:val="1"/>
          <w:wAfter w:w="7" w:type="dxa"/>
          <w:trHeight w:val="489"/>
        </w:trPr>
        <w:tc>
          <w:tcPr>
            <w:tcW w:w="15127" w:type="dxa"/>
            <w:gridSpan w:val="5"/>
          </w:tcPr>
          <w:p w14:paraId="78BBBF3E" w14:textId="12B6131B" w:rsidR="000A7BB7" w:rsidRPr="00421450" w:rsidRDefault="000A7BB7" w:rsidP="000A7BB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План совместных действий Правительства Республики Казахстан и Национального Банка Республики Казахстан </w:t>
            </w:r>
          </w:p>
          <w:p w14:paraId="4E12500C" w14:textId="29A9F8D5" w:rsidR="000A7BB7" w:rsidRPr="00421450" w:rsidRDefault="000A7BB7" w:rsidP="000A7BB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14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 обеспечению финансирования отечественных производителей и экспортеров</w:t>
            </w:r>
          </w:p>
        </w:tc>
      </w:tr>
      <w:tr w:rsidR="000A7BB7" w:rsidRPr="000841A8" w14:paraId="7F61008D" w14:textId="77777777" w:rsidTr="00BE24A8">
        <w:trPr>
          <w:gridAfter w:val="1"/>
          <w:wAfter w:w="7" w:type="dxa"/>
          <w:trHeight w:val="507"/>
        </w:trPr>
        <w:tc>
          <w:tcPr>
            <w:tcW w:w="540" w:type="dxa"/>
          </w:tcPr>
          <w:p w14:paraId="675F6DDD" w14:textId="5D514196" w:rsidR="000A7BB7" w:rsidRPr="00421450" w:rsidRDefault="00FF3124" w:rsidP="000A7BB7">
            <w:pPr>
              <w:shd w:val="clear" w:color="auto" w:fill="FFFFFF" w:themeFill="background1"/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0A7BB7"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6C0FEA78" w14:textId="34DDF7A6" w:rsidR="000A7BB7" w:rsidRPr="00421450" w:rsidRDefault="000A7BB7" w:rsidP="000A7BB7">
            <w:pPr>
              <w:widowControl w:val="0"/>
              <w:shd w:val="clear" w:color="auto" w:fill="FFFFFF" w:themeFill="background1"/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часть двенадцатая раздела «Анализ текущей ситуации»</w:t>
            </w:r>
          </w:p>
          <w:p w14:paraId="5306ABDF" w14:textId="07152C47" w:rsidR="000A7BB7" w:rsidRPr="00421450" w:rsidRDefault="000A7BB7" w:rsidP="000A7BB7">
            <w:pPr>
              <w:widowControl w:val="0"/>
              <w:shd w:val="clear" w:color="auto" w:fill="FFFFFF" w:themeFill="background1"/>
              <w:tabs>
                <w:tab w:val="left" w:pos="1365"/>
              </w:tabs>
              <w:ind w:firstLine="2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F50677C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Настоящий План совместных действий Правительства Республики Казахстан и Национального Банка Республики Казахстан (далее – НБ РК) по обеспечению финансирования отечественных производителей и экспортеров (далее – План) определяет комплекс мер, направленных на поддержку субъектов среднего и крупного предпринимательства (далее – ССКП) в 2015 – 2016 годах путем предоставления финансирования акционерным обществом «Банк Развития Казахстана» (далее – АО «БРК») совместно с дочерней организацией – акционерным обществом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«БРК-Лизинг» ( далее – АО «БРК-Лизинг»)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через механизм лизинга и/или займа по следующим трем направлениям: </w:t>
            </w:r>
          </w:p>
          <w:p w14:paraId="692B4161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первое направление: поддержка отечественных автопроизводителей; </w:t>
            </w:r>
          </w:p>
          <w:p w14:paraId="0853F229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второе направление: поддержка производства пассажирских вагонов; </w:t>
            </w:r>
          </w:p>
          <w:p w14:paraId="41FC7C21" w14:textId="3B7811E9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3) третье направление: поддержка экспортеров.</w:t>
            </w:r>
          </w:p>
        </w:tc>
        <w:tc>
          <w:tcPr>
            <w:tcW w:w="4500" w:type="dxa"/>
          </w:tcPr>
          <w:p w14:paraId="51036C40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Настоящий План совместных действий Правительства Республики Казахстан и Национального Банка Республики Казахстан (далее – НБ РК) по обеспечению финансирования отечественных производителей и экспортеров (далее – План) определяет комплекс мер, направленных на поддержку субъектов среднего и крупного предпринимательства (далее – ССКП) в 2015 – 2016 годах путем предоставления финансирования акционерным обществом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Банк Развития Казахстана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совместно с дочерней организацией – акционерным обществом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Фонд развития промышленности» ( далее – АО «ФРП»)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через механизм лизинга и/или займа по следующим трем направлениям: </w:t>
            </w:r>
          </w:p>
          <w:p w14:paraId="7C2CEB40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первое направление: поддержка отечественных автопроизводителей; </w:t>
            </w:r>
          </w:p>
          <w:p w14:paraId="49611ED2" w14:textId="77777777" w:rsidR="000A7BB7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второе направление: поддержка производства пассажирских вагонов; </w:t>
            </w:r>
          </w:p>
          <w:p w14:paraId="0E32C9F8" w14:textId="6249EEF5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третье направление: поддержка экспортеров. </w:t>
            </w:r>
          </w:p>
        </w:tc>
        <w:tc>
          <w:tcPr>
            <w:tcW w:w="3337" w:type="dxa"/>
          </w:tcPr>
          <w:p w14:paraId="7A5C62FB" w14:textId="77777777" w:rsidR="000A7BB7" w:rsidRPr="00E8101A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E8101A">
              <w:rPr>
                <w:rFonts w:ascii="Times New Roman" w:hAnsi="Times New Roman" w:cs="Times New Roman"/>
                <w:bCs/>
                <w:sz w:val="20"/>
                <w:szCs w:val="20"/>
              </w:rPr>
              <w:t>ешени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ем </w:t>
            </w:r>
            <w:r w:rsidRPr="00E810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Совета директоров АО «Банк Развития Казахстана» от 21 сентября 2020 года №243-2020-14 осуществлено переименование АО «БРК-Лизинг» на АО «Фонд развития промышленности». </w:t>
            </w:r>
          </w:p>
          <w:p w14:paraId="4D7AE99D" w14:textId="454E3DE8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101A">
              <w:rPr>
                <w:rFonts w:ascii="Times New Roman" w:hAnsi="Times New Roman" w:cs="Times New Roman"/>
                <w:bCs/>
                <w:sz w:val="20"/>
                <w:szCs w:val="20"/>
              </w:rPr>
              <w:t>22 сентября 2020 года произведена перерегистрация в связи с изменением наименования с АО «БРК-Лизинг» на АО «Фонд развития промышленности».</w:t>
            </w:r>
          </w:p>
        </w:tc>
      </w:tr>
      <w:tr w:rsidR="00FF3124" w:rsidRPr="000841A8" w14:paraId="2FAAE061" w14:textId="77777777" w:rsidTr="00BE24A8">
        <w:trPr>
          <w:gridAfter w:val="1"/>
          <w:wAfter w:w="7" w:type="dxa"/>
          <w:trHeight w:val="507"/>
        </w:trPr>
        <w:tc>
          <w:tcPr>
            <w:tcW w:w="540" w:type="dxa"/>
          </w:tcPr>
          <w:p w14:paraId="136EB732" w14:textId="14309D4A" w:rsidR="00FF3124" w:rsidRPr="00421450" w:rsidRDefault="00FF3124" w:rsidP="000A7BB7">
            <w:pPr>
              <w:shd w:val="clear" w:color="auto" w:fill="FFFFFF" w:themeFill="background1"/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2250" w:type="dxa"/>
          </w:tcPr>
          <w:p w14:paraId="4B21FE8F" w14:textId="628E01A2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одразде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 «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финансирования конечных заемщиков – покупателей автомобилей отечественного производства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976BD47" w14:textId="77777777" w:rsidR="00FF3124" w:rsidRPr="00421450" w:rsidRDefault="00FF3124" w:rsidP="00FF3124">
            <w:pPr>
              <w:widowControl w:val="0"/>
              <w:shd w:val="clear" w:color="auto" w:fill="FFFFFF" w:themeFill="background1"/>
              <w:tabs>
                <w:tab w:val="left" w:pos="13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0809E49C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финансирования конечных заемщиков – покупателей автомобилей отечественного производства</w:t>
            </w:r>
          </w:p>
          <w:p w14:paraId="070ADD04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Целевая группа – физические лица – покупатели легкового автотранспорта отечественного производства. </w:t>
            </w:r>
          </w:p>
          <w:p w14:paraId="2E8B8DB9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В целях кредитования одобренных заявок конечных заемщиков БВУ осуществляют предварительное согласование с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сумм, необходимых для списания средств с отдельного банковского счета БВУ в НБ РК. </w:t>
            </w:r>
          </w:p>
          <w:p w14:paraId="426B8F80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Кредиты предоставляются конечным заемщикам на условиях целевого использования, платности, срочности, возвратности и обеспеченности, в том числе: </w:t>
            </w:r>
          </w:p>
          <w:p w14:paraId="75EA962C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стоимость 1 единицы легкового автотранспорта составляет не более 15 000 000 тенге; </w:t>
            </w:r>
          </w:p>
          <w:p w14:paraId="08F249B9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срок кредитования – не более 7 лет; </w:t>
            </w:r>
          </w:p>
          <w:p w14:paraId="577CE70B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номинальная ставка вознаграждения для конечного заемщика не должна превышать </w:t>
            </w:r>
            <w:r w:rsidRPr="00FF3124">
              <w:rPr>
                <w:rFonts w:ascii="Times New Roman" w:hAnsi="Times New Roman" w:cs="Times New Roman"/>
                <w:b/>
                <w:sz w:val="20"/>
                <w:szCs w:val="20"/>
              </w:rPr>
              <w:t>4,0 % годовых.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3124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 годовая эффективная ставка вознаграждения для конечного заемщика, определяемая в соответствии с требованиями НБ РК*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F3124">
              <w:rPr>
                <w:rFonts w:ascii="Times New Roman" w:hAnsi="Times New Roman" w:cs="Times New Roman"/>
                <w:b/>
                <w:sz w:val="20"/>
                <w:szCs w:val="20"/>
              </w:rPr>
              <w:t>не должна превышать 7,5 % годовых с учетом затрат конечного заемщика по страхованию и оформлению в залог автотранспорта;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AEF56FC" w14:textId="77777777" w:rsidR="00FF3124" w:rsidRDefault="00FF3124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валюта кредитования – тенге; </w:t>
            </w:r>
          </w:p>
          <w:p w14:paraId="7B480489" w14:textId="7F707D00" w:rsidR="00FF3124" w:rsidRPr="00421450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при погашении конечным заемщиком займа перед БВУ допускается повторное кредитование БВУ покупателей легкового автотранспорта отечественного производства за счет возвращенных средств и на условиях, определенных настоящим Планом. </w:t>
            </w:r>
          </w:p>
        </w:tc>
        <w:tc>
          <w:tcPr>
            <w:tcW w:w="4500" w:type="dxa"/>
          </w:tcPr>
          <w:p w14:paraId="2C3A2D00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Условия финансирования конечных заемщиков – покупателей автомобилей отечественного производства</w:t>
            </w:r>
          </w:p>
          <w:p w14:paraId="4EDD2F8B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Целевая группа – физические лица – покупатели легкового автотранспорта отечественного производства.</w:t>
            </w:r>
          </w:p>
          <w:p w14:paraId="1675B978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1. В целях кредитования одобренных заявок конечных заемщиков БВУ осуществляют предварительное согласование с АО «БРК» сумм, необходимых для списания средств с отдельного банковского счета БВУ в НБ РК.</w:t>
            </w:r>
          </w:p>
          <w:p w14:paraId="3D58FF7E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2. Кредиты предоставляются конечным заемщикам на условиях целевого использования, платности, срочности, возвратности и обеспеченности, в том числе:</w:t>
            </w:r>
          </w:p>
          <w:p w14:paraId="1A4E68E1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1) стоимость 1 единицы легкового автотранспорта составляет не более 15 000 000 тенге;</w:t>
            </w:r>
          </w:p>
          <w:p w14:paraId="4D1A4CFD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2) срок кредитования – не более 7 лет;</w:t>
            </w:r>
          </w:p>
          <w:p w14:paraId="05086A2B" w14:textId="392F9B3F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/>
                <w:sz w:val="20"/>
                <w:szCs w:val="20"/>
              </w:rPr>
              <w:t>3) номинальная ставка вознаграждения для конечного заемщика не должна превышать 12,6 % годовых</w:t>
            </w:r>
            <w:r w:rsidRPr="002061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061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r w:rsidRPr="00333F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</w:t>
            </w:r>
            <w:r w:rsidRPr="00FF3124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2EDDA872" w14:textId="77777777" w:rsidR="00FF3124" w:rsidRPr="00FF3124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4) валюта кредитования – тенге;</w:t>
            </w:r>
          </w:p>
          <w:p w14:paraId="14E3015F" w14:textId="0893F96E" w:rsidR="00FF3124" w:rsidRPr="00421450" w:rsidRDefault="00FF3124" w:rsidP="00FF3124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124">
              <w:rPr>
                <w:rFonts w:ascii="Times New Roman" w:hAnsi="Times New Roman" w:cs="Times New Roman"/>
                <w:bCs/>
                <w:sz w:val="20"/>
                <w:szCs w:val="20"/>
              </w:rPr>
              <w:t>5) при погашении конечным заемщиком займа перед БВУ допускается повторное кредитование БВУ покупателей легкового автотранспорта отечественного производства за счет возвращенных средств и на условиях, определенных настоящим Планом.</w:t>
            </w:r>
          </w:p>
        </w:tc>
        <w:tc>
          <w:tcPr>
            <w:tcW w:w="3337" w:type="dxa"/>
          </w:tcPr>
          <w:p w14:paraId="0FD41DF2" w14:textId="7520CFB4" w:rsidR="00430EE5" w:rsidRDefault="00430EE5" w:rsidP="00430EE5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Обоснование приведено в позиции </w:t>
            </w:r>
            <w:r w:rsidR="000F27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Сравнительной таблицы.</w:t>
            </w:r>
          </w:p>
          <w:p w14:paraId="63B847E4" w14:textId="6140D910" w:rsidR="00FF3124" w:rsidRDefault="00FF3124" w:rsidP="00EA4CD3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09BF4418" w14:textId="77777777" w:rsidTr="00BE24A8">
        <w:trPr>
          <w:gridAfter w:val="1"/>
          <w:wAfter w:w="7" w:type="dxa"/>
          <w:trHeight w:val="507"/>
        </w:trPr>
        <w:tc>
          <w:tcPr>
            <w:tcW w:w="540" w:type="dxa"/>
          </w:tcPr>
          <w:p w14:paraId="1C80A10B" w14:textId="4011B883" w:rsidR="000A7BB7" w:rsidRPr="00421450" w:rsidRDefault="000F2710" w:rsidP="000A7BB7">
            <w:pPr>
              <w:shd w:val="clear" w:color="auto" w:fill="FFFFFF" w:themeFill="background1"/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0A7BB7"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774DAC75" w14:textId="0BAEEB36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подраздел «Лизинговое финансирование в рамках поддержки производства отечественных автомобилей»</w:t>
            </w:r>
          </w:p>
          <w:p w14:paraId="0DAEE7DC" w14:textId="556A454C" w:rsidR="000A7BB7" w:rsidRPr="00421450" w:rsidRDefault="000A7BB7" w:rsidP="000A7BB7">
            <w:pPr>
              <w:widowControl w:val="0"/>
              <w:shd w:val="clear" w:color="auto" w:fill="FFFFFF" w:themeFill="background1"/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главы 1 «Поддержка отечественных автопроизводителей. Обусловленное финансирование в рамках поддержки отечественных автопроизводителей через банки второго уровня»</w:t>
            </w:r>
          </w:p>
        </w:tc>
        <w:tc>
          <w:tcPr>
            <w:tcW w:w="4500" w:type="dxa"/>
          </w:tcPr>
          <w:p w14:paraId="10783116" w14:textId="6DFFDCA6" w:rsidR="000F2710" w:rsidRDefault="000F2710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Лизинговое финансирование в рамках поддержки производства отечественных автомобилей</w:t>
            </w:r>
          </w:p>
          <w:p w14:paraId="2D15902A" w14:textId="75C7E3B9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Целевая группа – юридические лица и индивидуальные предприниматели, приобретающие в лизинг автотранспортные средства и автотехнику специального назначения, за исключением сельскохозяйственной техники отечественного производства. </w:t>
            </w:r>
          </w:p>
          <w:p w14:paraId="38759677" w14:textId="5F2517F9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«БРК» заключает договор займа с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следующих условиях: </w:t>
            </w:r>
          </w:p>
          <w:p w14:paraId="12708F81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сумма займа – не более 7 миллиардов тенге; </w:t>
            </w:r>
          </w:p>
          <w:p w14:paraId="7F556271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ставка вознаграждения – 0,25 % годовых; </w:t>
            </w:r>
          </w:p>
          <w:p w14:paraId="0744B1C2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срок займа – до 20 лет; </w:t>
            </w:r>
          </w:p>
          <w:p w14:paraId="27ED042B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выплата вознаграждения по займу – 2 раза в год; </w:t>
            </w:r>
          </w:p>
          <w:p w14:paraId="1AD6D703" w14:textId="441ABBF4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погашение основного долга – в конце срока, согласно условиям соответствующего договора займа, с правом частичного или полного досрочного погашения по инициативе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1E55DDA7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валюта займа – тенге. </w:t>
            </w:r>
          </w:p>
          <w:p w14:paraId="7F3B7833" w14:textId="227ED27B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приобретает автотранспортные средства и автотехнику специального назначения, за исключением сельскохозяйственной техники, у отечественных автопроизводителей транспортных средств и автотехники специального назначения с последующим предоставлением в лизинг, в том числе с привлечением агентов, на условиях целевого использования, платности, срочности, возвратности и обеспеченности, в том числе: </w:t>
            </w:r>
          </w:p>
          <w:p w14:paraId="5840D88F" w14:textId="34FD89F2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лизингодатель –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5F25DE94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предмет лизинга – автотранспортные средства и автотехника специального назначения, за исключением сельскохозяйственной техники (далее – автотранспортные средства); </w:t>
            </w:r>
          </w:p>
          <w:p w14:paraId="79D5D372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лизингополучатель – юридические лица и индивидуальные предприниматели, приобретающие в лизинг автотранспортные средства; </w:t>
            </w:r>
          </w:p>
          <w:p w14:paraId="5DF6B549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срок лизинга – от 3 до 5 лет; </w:t>
            </w:r>
          </w:p>
          <w:p w14:paraId="72CA9AAA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номинальная ставка вознаграждения –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4 %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годовых; </w:t>
            </w:r>
          </w:p>
          <w:p w14:paraId="483CF5AB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валюта финансирования – тенге; </w:t>
            </w:r>
          </w:p>
          <w:p w14:paraId="33BF0B71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7) первоначальный взнос (аванс) по лизингу – 30 % от стоимости предмета лизинга; </w:t>
            </w:r>
          </w:p>
          <w:p w14:paraId="42172444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8) льготный период по оплате основного долга – до 6 месяцев; </w:t>
            </w:r>
          </w:p>
          <w:p w14:paraId="35791820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9) льготный период по оплате вознаграждения – отсутствует; </w:t>
            </w:r>
          </w:p>
          <w:p w14:paraId="5602FBBE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10) дополнительные расходы (страхование, сервисное и агентское обслуживание) – за счет лизингополучателя; </w:t>
            </w:r>
          </w:p>
          <w:p w14:paraId="0A0193A1" w14:textId="777E2CCC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11) при погашении платежей лизингополучателями перед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допускается повторное лизинговое финансирование за счет возвращенных средств и на условиях, определенных настоящим Планом.</w:t>
            </w:r>
          </w:p>
        </w:tc>
        <w:tc>
          <w:tcPr>
            <w:tcW w:w="4500" w:type="dxa"/>
          </w:tcPr>
          <w:p w14:paraId="7E92079F" w14:textId="1BCB340A" w:rsidR="000F2710" w:rsidRDefault="000F2710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Лизинговое финансирование в рамках поддержки производства отечественных автомобилей</w:t>
            </w:r>
          </w:p>
          <w:p w14:paraId="1E20183E" w14:textId="0BC0CD56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Целевая группа – юридические лица и индивидуальные предприниматели, приобретающие в лизинг автотранспортные средства и автотехнику специального назначения, за исключением сельскохозяйственной техники отечественного производства. </w:t>
            </w:r>
          </w:p>
          <w:p w14:paraId="504EB1E1" w14:textId="07DDBB66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«БРК» заключает договор займа с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«ФРП»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следующих условиях: </w:t>
            </w:r>
          </w:p>
          <w:p w14:paraId="760AD6C8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сумма займа – не более 7 миллиардов тенге; </w:t>
            </w:r>
          </w:p>
          <w:p w14:paraId="18DEB2E4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ставка вознаграждения – 0,25 % годовых; </w:t>
            </w:r>
          </w:p>
          <w:p w14:paraId="32818E99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срок займа – до 20 лет; </w:t>
            </w:r>
          </w:p>
          <w:p w14:paraId="2F485F25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выплата вознаграждения по займу – 2 раза в год; </w:t>
            </w:r>
          </w:p>
          <w:p w14:paraId="0676E6F0" w14:textId="3DE7C3DC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погашение основного долга – в конце срока, согласно условиям соответствующего договора займа, с правом частичного или полного досрочного погашения по инициативе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«ФРП»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1A862629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валюта займа – тенге. </w:t>
            </w:r>
          </w:p>
          <w:p w14:paraId="2772A360" w14:textId="49BE6B4F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АО «ФРП»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приобретает автотранспортные средства и автотехнику специального назначения, за исключением сельскохозяйственной техники, у отечественных автопроизводителей транспортных средств и автотехники специального назначения с последующим предоставлением в лизинг, в том числе с привлечением агентов, на условиях целевого использования, платности, срочности, возвратности и обеспеченности, в том числе: </w:t>
            </w:r>
          </w:p>
          <w:p w14:paraId="73F2615B" w14:textId="756315BF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лизингодатель –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«ФРП»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348DC4D7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предмет лизинга – автотранспортные средства и автотехника специального назначения, за исключением сельскохозяйственной техники (далее – автотранспортные средства); </w:t>
            </w:r>
          </w:p>
          <w:p w14:paraId="3DC52B6C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лизингополучатель – юридические лица и индивидуальные предприниматели, приобретающие в лизинг автотранспортные средства; </w:t>
            </w:r>
          </w:p>
          <w:p w14:paraId="501F945E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срок лизинга – от 3 до 5 лет; </w:t>
            </w:r>
          </w:p>
          <w:p w14:paraId="668BB496" w14:textId="6478AE85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номинальная ставка вознаграждения –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12,6 %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годовых; </w:t>
            </w:r>
          </w:p>
          <w:p w14:paraId="189BC18D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валюта финансирования – тенге; </w:t>
            </w:r>
          </w:p>
          <w:p w14:paraId="2A5CF6A5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7) первоначальный взнос (аванс) по лизингу – 30 % от стоимости предмета лизинга; </w:t>
            </w:r>
          </w:p>
          <w:p w14:paraId="4B6EE92A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8) льготный период по оплате основного долга – до 6 месяцев; </w:t>
            </w:r>
          </w:p>
          <w:p w14:paraId="78F3C633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9) льготный период по оплате вознаграждения – отсутствует; </w:t>
            </w:r>
          </w:p>
          <w:p w14:paraId="3B07797B" w14:textId="77777777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10) дополнительные расходы (страхование, сервисное и агентское обслуживание) – за счет лизингополучателя; </w:t>
            </w:r>
          </w:p>
          <w:p w14:paraId="79893D82" w14:textId="23E94A04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11) при погашении платежей лизингополучателями перед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«ФРП»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допускается повторное лизинговое финансирование за счет возвращенных средств и на условиях, определенных настоящим Планом.</w:t>
            </w:r>
          </w:p>
        </w:tc>
        <w:tc>
          <w:tcPr>
            <w:tcW w:w="3337" w:type="dxa"/>
          </w:tcPr>
          <w:p w14:paraId="1A94CF41" w14:textId="55FFA4C8" w:rsidR="000F2710" w:rsidRDefault="000F2710" w:rsidP="000F2710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приведены в позициях 2 и 15 Сравнительной таблицы.</w:t>
            </w:r>
          </w:p>
          <w:p w14:paraId="2109A302" w14:textId="26D027D5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7BB7" w:rsidRPr="000841A8" w14:paraId="76FDDA2F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5715EF26" w14:textId="3A83E28C" w:rsidR="000A7BB7" w:rsidRPr="00421450" w:rsidRDefault="000F2710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18</w:t>
            </w:r>
            <w:r w:rsidR="000A7BB7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7985E430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2) </w:t>
            </w:r>
          </w:p>
          <w:p w14:paraId="43F000D9" w14:textId="77777777" w:rsidR="000A7BB7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части второй </w:t>
            </w:r>
          </w:p>
          <w:p w14:paraId="7F845E6A" w14:textId="4BCE49BF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главы 3 «Поддержка производства пассажирских вагонов»</w:t>
            </w:r>
          </w:p>
        </w:tc>
        <w:tc>
          <w:tcPr>
            <w:tcW w:w="4500" w:type="dxa"/>
          </w:tcPr>
          <w:p w14:paraId="14271201" w14:textId="4E2FCD9A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номинальная ставка вознаграждения –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до 2,0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 годовых;</w:t>
            </w:r>
          </w:p>
        </w:tc>
        <w:tc>
          <w:tcPr>
            <w:tcW w:w="4500" w:type="dxa"/>
          </w:tcPr>
          <w:p w14:paraId="39EA6FD4" w14:textId="1AEF7A31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номинальная ставка вознаграждения –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12,6 %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годовых;</w:t>
            </w:r>
          </w:p>
        </w:tc>
        <w:tc>
          <w:tcPr>
            <w:tcW w:w="3337" w:type="dxa"/>
            <w:vMerge w:val="restart"/>
          </w:tcPr>
          <w:p w14:paraId="29033D41" w14:textId="77777777" w:rsidR="000F2710" w:rsidRDefault="000F2710" w:rsidP="000F2710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2 Сравнительной таблицы.</w:t>
            </w:r>
          </w:p>
          <w:p w14:paraId="71D0EC15" w14:textId="1F3E02EF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7BB7" w:rsidRPr="000841A8" w14:paraId="70B485F9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18FC6A9B" w14:textId="72FA48A6" w:rsidR="000A7BB7" w:rsidRPr="00421450" w:rsidRDefault="000F2710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19</w:t>
            </w:r>
            <w:r w:rsidR="000A7BB7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68E2C75F" w14:textId="77777777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2) </w:t>
            </w:r>
          </w:p>
          <w:p w14:paraId="50275202" w14:textId="77777777" w:rsidR="000A7BB7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пункта 2 подраздела </w:t>
            </w:r>
          </w:p>
          <w:p w14:paraId="07ABD434" w14:textId="3C04B91A" w:rsidR="000A7BB7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главы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 «</w:t>
            </w:r>
            <w:r w:rsidRPr="00991D62">
              <w:rPr>
                <w:rFonts w:ascii="Times New Roman" w:hAnsi="Times New Roman" w:cs="Times New Roman"/>
                <w:sz w:val="20"/>
                <w:szCs w:val="20"/>
              </w:rPr>
              <w:t>Поддержка экспортеров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0611FBA" w14:textId="7D00433A" w:rsidR="000A7BB7" w:rsidRPr="0025074F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подразделе</w:t>
            </w:r>
          </w:p>
          <w:p w14:paraId="26928045" w14:textId="0F81F54A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«Прямое кредитование, обусловленное и лизинговое финансирование в рамках поддержки отечественных экспортеров» </w:t>
            </w:r>
          </w:p>
        </w:tc>
        <w:tc>
          <w:tcPr>
            <w:tcW w:w="4500" w:type="dxa"/>
          </w:tcPr>
          <w:p w14:paraId="5D4FA73D" w14:textId="4EEEA930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номинальная ставка вознаграждения – рассчитанная в соответствии с внутренними документами АО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БРК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 не более 12,5% 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годовых;</w:t>
            </w:r>
          </w:p>
        </w:tc>
        <w:tc>
          <w:tcPr>
            <w:tcW w:w="4500" w:type="dxa"/>
          </w:tcPr>
          <w:p w14:paraId="53CFB6A3" w14:textId="418D69DB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номинальная ставка вознаграждения – не более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12,6 %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годовых;</w:t>
            </w:r>
          </w:p>
        </w:tc>
        <w:tc>
          <w:tcPr>
            <w:tcW w:w="3337" w:type="dxa"/>
            <w:vMerge/>
          </w:tcPr>
          <w:p w14:paraId="629E5F22" w14:textId="77777777" w:rsidR="000A7BB7" w:rsidRPr="00421450" w:rsidRDefault="000A7BB7" w:rsidP="000A7BB7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7BB7" w:rsidRPr="000841A8" w14:paraId="603E1AE0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10C1E25C" w14:textId="1C072127" w:rsidR="000A7BB7" w:rsidRPr="00421450" w:rsidRDefault="000F2710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20</w:t>
            </w:r>
            <w:r w:rsidR="000A7BB7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1752D2EE" w14:textId="64489402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4) </w:t>
            </w:r>
          </w:p>
          <w:p w14:paraId="7915952C" w14:textId="5F72A5C3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2 подраздела «Прямое кредитование, обусловленное и лизинговое финансирование в рамках поддержки отечественных экспортеров»</w:t>
            </w:r>
          </w:p>
        </w:tc>
        <w:tc>
          <w:tcPr>
            <w:tcW w:w="4500" w:type="dxa"/>
          </w:tcPr>
          <w:p w14:paraId="4C08AA33" w14:textId="4BB0C4E3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обеспечение по займу/лизингу – в соответствии с требованиями АО «БРК» и/или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0376520E" w14:textId="26761834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_Hlk216191907"/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обеспечение по займу/лизингу – в соответствии с требованиями АО «БРК» и/или </w:t>
            </w:r>
            <w:r w:rsidRPr="008876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 «ФРП».</w:t>
            </w:r>
            <w:bookmarkEnd w:id="2"/>
          </w:p>
        </w:tc>
        <w:tc>
          <w:tcPr>
            <w:tcW w:w="3337" w:type="dxa"/>
            <w:vMerge w:val="restart"/>
          </w:tcPr>
          <w:p w14:paraId="62F885DC" w14:textId="51F33B8C" w:rsidR="000F2710" w:rsidRDefault="000F2710" w:rsidP="000F2710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приведено в позиции 15 Сравнительной таблицы.</w:t>
            </w:r>
          </w:p>
          <w:p w14:paraId="6D36894C" w14:textId="73343856" w:rsidR="000A7BB7" w:rsidRPr="00421450" w:rsidRDefault="000A7BB7" w:rsidP="000A7BB7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7BB7" w:rsidRPr="000841A8" w14:paraId="1A09AACC" w14:textId="77777777" w:rsidTr="00BE24A8">
        <w:trPr>
          <w:gridAfter w:val="1"/>
          <w:wAfter w:w="7" w:type="dxa"/>
          <w:trHeight w:val="653"/>
        </w:trPr>
        <w:tc>
          <w:tcPr>
            <w:tcW w:w="540" w:type="dxa"/>
          </w:tcPr>
          <w:p w14:paraId="4512620A" w14:textId="64C52765" w:rsidR="000A7BB7" w:rsidRPr="00421450" w:rsidRDefault="000F2710" w:rsidP="000A7BB7">
            <w:pPr>
              <w:shd w:val="clear" w:color="auto" w:fill="FFFFFF" w:themeFill="background1"/>
              <w:tabs>
                <w:tab w:val="left" w:pos="360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21</w:t>
            </w:r>
            <w:r w:rsidR="000A7BB7" w:rsidRPr="00421450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250" w:type="dxa"/>
          </w:tcPr>
          <w:p w14:paraId="6D47E1B6" w14:textId="57BA7F63" w:rsidR="000A7BB7" w:rsidRPr="00421450" w:rsidRDefault="000A7BB7" w:rsidP="000A7BB7">
            <w:pPr>
              <w:widowControl w:val="0"/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sz w:val="20"/>
                <w:szCs w:val="20"/>
              </w:rPr>
              <w:t>пункта 3 подраздела «Прямое кредитование, обусловленное и лизинговое финансирование в рамках поддержки отечественных экспортеров»</w:t>
            </w:r>
          </w:p>
        </w:tc>
        <w:tc>
          <w:tcPr>
            <w:tcW w:w="4500" w:type="dxa"/>
          </w:tcPr>
          <w:p w14:paraId="79AAF947" w14:textId="47560B3B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В целях упрощения процедур и сроков рассмотрения по финансированию поддержки отечественных экспортеров предусматривается внесение соответствующих изменений и дополнений во внутренние правила АО «БРК» и/или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«БРК-Лизинг»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, регламентирующих порядок и требования к рассмотрению проектов.</w:t>
            </w:r>
          </w:p>
        </w:tc>
        <w:tc>
          <w:tcPr>
            <w:tcW w:w="4500" w:type="dxa"/>
          </w:tcPr>
          <w:p w14:paraId="2F2A03DE" w14:textId="41B13BF5" w:rsidR="000A7BB7" w:rsidRPr="00421450" w:rsidRDefault="000A7BB7" w:rsidP="000A7BB7">
            <w:pPr>
              <w:shd w:val="clear" w:color="auto" w:fill="FFFFFF" w:themeFill="background1"/>
              <w:tabs>
                <w:tab w:val="left" w:pos="1365"/>
              </w:tabs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" w:name="_Hlk216191925"/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В целях упрощения процедур и сроков рассмотрения по финансированию поддержки отечественных экспортеров предусматривается внесение соответствующих изменений и дополнений во внутренние правила АО «БРК» и/или </w:t>
            </w:r>
            <w:r w:rsidRPr="00421450">
              <w:rPr>
                <w:rFonts w:ascii="Times New Roman" w:hAnsi="Times New Roman" w:cs="Times New Roman"/>
                <w:b/>
                <w:sz w:val="20"/>
                <w:szCs w:val="20"/>
              </w:rPr>
              <w:t>АО «ФРП»</w:t>
            </w:r>
            <w:r w:rsidRPr="00421450">
              <w:rPr>
                <w:rFonts w:ascii="Times New Roman" w:hAnsi="Times New Roman" w:cs="Times New Roman"/>
                <w:bCs/>
                <w:sz w:val="20"/>
                <w:szCs w:val="20"/>
              </w:rPr>
              <w:t>, регламентирующих порядок и требования к рассмотрению проектов.</w:t>
            </w:r>
            <w:bookmarkEnd w:id="3"/>
          </w:p>
        </w:tc>
        <w:tc>
          <w:tcPr>
            <w:tcW w:w="3337" w:type="dxa"/>
            <w:vMerge/>
          </w:tcPr>
          <w:p w14:paraId="79E324DA" w14:textId="77777777" w:rsidR="000A7BB7" w:rsidRPr="00EE5D72" w:rsidRDefault="000A7BB7" w:rsidP="000A7BB7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05DB13E" w14:textId="77777777" w:rsidR="003A450F" w:rsidRPr="00F121EA" w:rsidRDefault="003A450F" w:rsidP="007846B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GoBack"/>
      <w:bookmarkEnd w:id="4"/>
    </w:p>
    <w:sectPr w:rsidR="003A450F" w:rsidRPr="00F121EA" w:rsidSect="006A3664">
      <w:headerReference w:type="default" r:id="rId8"/>
      <w:pgSz w:w="15840" w:h="12240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8936C" w14:textId="77777777" w:rsidR="007E718E" w:rsidRDefault="007E718E" w:rsidP="00B4237F">
      <w:pPr>
        <w:spacing w:after="0" w:line="240" w:lineRule="auto"/>
      </w:pPr>
      <w:r>
        <w:separator/>
      </w:r>
    </w:p>
  </w:endnote>
  <w:endnote w:type="continuationSeparator" w:id="0">
    <w:p w14:paraId="5D96B7EA" w14:textId="77777777" w:rsidR="007E718E" w:rsidRDefault="007E718E" w:rsidP="00B42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01FBF" w14:textId="77777777" w:rsidR="007E718E" w:rsidRDefault="007E718E" w:rsidP="00B4237F">
      <w:pPr>
        <w:spacing w:after="0" w:line="240" w:lineRule="auto"/>
      </w:pPr>
      <w:r>
        <w:separator/>
      </w:r>
    </w:p>
  </w:footnote>
  <w:footnote w:type="continuationSeparator" w:id="0">
    <w:p w14:paraId="53B6E68A" w14:textId="77777777" w:rsidR="007E718E" w:rsidRDefault="007E718E" w:rsidP="00B42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3232"/>
      <w:docPartObj>
        <w:docPartGallery w:val="Page Numbers (Top of Page)"/>
        <w:docPartUnique/>
      </w:docPartObj>
    </w:sdtPr>
    <w:sdtEndPr/>
    <w:sdtContent>
      <w:p w14:paraId="77E88098" w14:textId="77777777" w:rsidR="00346EBE" w:rsidRDefault="00346EBE">
        <w:pPr>
          <w:pStyle w:val="a9"/>
          <w:jc w:val="center"/>
        </w:pPr>
        <w:r w:rsidRPr="006A366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A366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366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65EC" w:rsidRPr="00BC65E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30</w:t>
        </w:r>
        <w:r w:rsidRPr="006A366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D9A3AC2" w14:textId="77777777" w:rsidR="00346EBE" w:rsidRDefault="00346E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74A95"/>
    <w:multiLevelType w:val="hybridMultilevel"/>
    <w:tmpl w:val="3BAA680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4B954E43"/>
    <w:multiLevelType w:val="hybridMultilevel"/>
    <w:tmpl w:val="3BAA680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4BFA6DC8"/>
    <w:multiLevelType w:val="hybridMultilevel"/>
    <w:tmpl w:val="E8D03586"/>
    <w:lvl w:ilvl="0" w:tplc="DAD851EA">
      <w:start w:val="1"/>
      <w:numFmt w:val="decimal"/>
      <w:lvlText w:val="%1)"/>
      <w:lvlJc w:val="left"/>
      <w:pPr>
        <w:ind w:left="784" w:hanging="360"/>
      </w:pPr>
      <w:rPr>
        <w:rFonts w:ascii="Times New Roman" w:eastAsiaTheme="minorEastAsia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72847D96"/>
    <w:multiLevelType w:val="hybridMultilevel"/>
    <w:tmpl w:val="B11AD55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6322D2"/>
    <w:multiLevelType w:val="hybridMultilevel"/>
    <w:tmpl w:val="3BAA680C"/>
    <w:lvl w:ilvl="0" w:tplc="3056ABA2">
      <w:start w:val="1"/>
      <w:numFmt w:val="decimal"/>
      <w:lvlText w:val="%1."/>
      <w:lvlJc w:val="left"/>
      <w:pPr>
        <w:ind w:left="39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7A1B2C23"/>
    <w:multiLevelType w:val="hybridMultilevel"/>
    <w:tmpl w:val="A7B0B9A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D"/>
    <w:rsid w:val="000038A2"/>
    <w:rsid w:val="00004FCB"/>
    <w:rsid w:val="00005A81"/>
    <w:rsid w:val="0000689F"/>
    <w:rsid w:val="00013B25"/>
    <w:rsid w:val="00016173"/>
    <w:rsid w:val="00020041"/>
    <w:rsid w:val="00031595"/>
    <w:rsid w:val="00034433"/>
    <w:rsid w:val="000429DB"/>
    <w:rsid w:val="00042DDA"/>
    <w:rsid w:val="00044176"/>
    <w:rsid w:val="000518EA"/>
    <w:rsid w:val="00065021"/>
    <w:rsid w:val="000664D7"/>
    <w:rsid w:val="000727D9"/>
    <w:rsid w:val="000729D1"/>
    <w:rsid w:val="000841A8"/>
    <w:rsid w:val="000845A1"/>
    <w:rsid w:val="00085CA9"/>
    <w:rsid w:val="000928FC"/>
    <w:rsid w:val="0009335C"/>
    <w:rsid w:val="000A2FD6"/>
    <w:rsid w:val="000A6AE1"/>
    <w:rsid w:val="000A78E5"/>
    <w:rsid w:val="000A7BB7"/>
    <w:rsid w:val="000B2BA1"/>
    <w:rsid w:val="000B4998"/>
    <w:rsid w:val="000B67AA"/>
    <w:rsid w:val="000C03C2"/>
    <w:rsid w:val="000C1348"/>
    <w:rsid w:val="000D12D2"/>
    <w:rsid w:val="000D355B"/>
    <w:rsid w:val="000D41C4"/>
    <w:rsid w:val="000E41D8"/>
    <w:rsid w:val="000E4816"/>
    <w:rsid w:val="000E77E7"/>
    <w:rsid w:val="000F22EB"/>
    <w:rsid w:val="000F2710"/>
    <w:rsid w:val="000F4940"/>
    <w:rsid w:val="000F6D23"/>
    <w:rsid w:val="000F6D61"/>
    <w:rsid w:val="00121572"/>
    <w:rsid w:val="00127EEC"/>
    <w:rsid w:val="00131CBF"/>
    <w:rsid w:val="0014179B"/>
    <w:rsid w:val="0014498F"/>
    <w:rsid w:val="0017617F"/>
    <w:rsid w:val="00181601"/>
    <w:rsid w:val="00183BC9"/>
    <w:rsid w:val="001845A5"/>
    <w:rsid w:val="00185E7F"/>
    <w:rsid w:val="0018747D"/>
    <w:rsid w:val="00194117"/>
    <w:rsid w:val="00194E51"/>
    <w:rsid w:val="00196985"/>
    <w:rsid w:val="001A2EC3"/>
    <w:rsid w:val="001B02FD"/>
    <w:rsid w:val="001B44B8"/>
    <w:rsid w:val="001C1585"/>
    <w:rsid w:val="001D0335"/>
    <w:rsid w:val="001D1F3D"/>
    <w:rsid w:val="001D2F37"/>
    <w:rsid w:val="001E1E90"/>
    <w:rsid w:val="001E6202"/>
    <w:rsid w:val="001F0872"/>
    <w:rsid w:val="001F1821"/>
    <w:rsid w:val="001F2B65"/>
    <w:rsid w:val="001F698C"/>
    <w:rsid w:val="00203586"/>
    <w:rsid w:val="002038A3"/>
    <w:rsid w:val="00204A72"/>
    <w:rsid w:val="00205857"/>
    <w:rsid w:val="00206199"/>
    <w:rsid w:val="002131BE"/>
    <w:rsid w:val="00234C5B"/>
    <w:rsid w:val="00237147"/>
    <w:rsid w:val="0025074F"/>
    <w:rsid w:val="00253DBD"/>
    <w:rsid w:val="002552B9"/>
    <w:rsid w:val="00255DC1"/>
    <w:rsid w:val="002621D7"/>
    <w:rsid w:val="00262275"/>
    <w:rsid w:val="00266BC7"/>
    <w:rsid w:val="002700BB"/>
    <w:rsid w:val="00272762"/>
    <w:rsid w:val="00273715"/>
    <w:rsid w:val="00273770"/>
    <w:rsid w:val="00281FDF"/>
    <w:rsid w:val="002A028A"/>
    <w:rsid w:val="002A36F9"/>
    <w:rsid w:val="002A67B3"/>
    <w:rsid w:val="002C2BB8"/>
    <w:rsid w:val="002C3B93"/>
    <w:rsid w:val="002C3E4E"/>
    <w:rsid w:val="002C4C1C"/>
    <w:rsid w:val="002C5D0E"/>
    <w:rsid w:val="002D1DF1"/>
    <w:rsid w:val="002E766B"/>
    <w:rsid w:val="002F0612"/>
    <w:rsid w:val="002F0AEE"/>
    <w:rsid w:val="002F53D1"/>
    <w:rsid w:val="0031145E"/>
    <w:rsid w:val="00320165"/>
    <w:rsid w:val="00320E4D"/>
    <w:rsid w:val="00321F31"/>
    <w:rsid w:val="00327663"/>
    <w:rsid w:val="00332237"/>
    <w:rsid w:val="00333B7B"/>
    <w:rsid w:val="00333FDD"/>
    <w:rsid w:val="003371F5"/>
    <w:rsid w:val="00345A99"/>
    <w:rsid w:val="00346EBE"/>
    <w:rsid w:val="003479C4"/>
    <w:rsid w:val="00355F25"/>
    <w:rsid w:val="00361360"/>
    <w:rsid w:val="0036339B"/>
    <w:rsid w:val="0037006E"/>
    <w:rsid w:val="00373358"/>
    <w:rsid w:val="00376F39"/>
    <w:rsid w:val="003856EF"/>
    <w:rsid w:val="00395D2D"/>
    <w:rsid w:val="0039607B"/>
    <w:rsid w:val="0039624A"/>
    <w:rsid w:val="003A3569"/>
    <w:rsid w:val="003A450F"/>
    <w:rsid w:val="003B0AAE"/>
    <w:rsid w:val="003B4A76"/>
    <w:rsid w:val="003B7255"/>
    <w:rsid w:val="003C388D"/>
    <w:rsid w:val="003C4DE9"/>
    <w:rsid w:val="003C7ED8"/>
    <w:rsid w:val="003D04D4"/>
    <w:rsid w:val="003D23EF"/>
    <w:rsid w:val="003D5741"/>
    <w:rsid w:val="003D6D6A"/>
    <w:rsid w:val="003E6F3E"/>
    <w:rsid w:val="003E6F69"/>
    <w:rsid w:val="003F58C5"/>
    <w:rsid w:val="003F662B"/>
    <w:rsid w:val="00412E25"/>
    <w:rsid w:val="00416191"/>
    <w:rsid w:val="00421450"/>
    <w:rsid w:val="004217C9"/>
    <w:rsid w:val="004270FC"/>
    <w:rsid w:val="0042793E"/>
    <w:rsid w:val="00430EE5"/>
    <w:rsid w:val="00432511"/>
    <w:rsid w:val="00432879"/>
    <w:rsid w:val="0043697C"/>
    <w:rsid w:val="004416E7"/>
    <w:rsid w:val="00453C42"/>
    <w:rsid w:val="00455F0D"/>
    <w:rsid w:val="00457289"/>
    <w:rsid w:val="00467580"/>
    <w:rsid w:val="004713A3"/>
    <w:rsid w:val="004714AF"/>
    <w:rsid w:val="00472AA6"/>
    <w:rsid w:val="00473BCE"/>
    <w:rsid w:val="00473DCA"/>
    <w:rsid w:val="00480133"/>
    <w:rsid w:val="00483669"/>
    <w:rsid w:val="00483EE5"/>
    <w:rsid w:val="00485ADE"/>
    <w:rsid w:val="0049616C"/>
    <w:rsid w:val="004A7615"/>
    <w:rsid w:val="004B22D2"/>
    <w:rsid w:val="004B4621"/>
    <w:rsid w:val="004C309E"/>
    <w:rsid w:val="004D35E5"/>
    <w:rsid w:val="004D3FC6"/>
    <w:rsid w:val="004E5A11"/>
    <w:rsid w:val="004E6EDD"/>
    <w:rsid w:val="004F0617"/>
    <w:rsid w:val="004F1AE6"/>
    <w:rsid w:val="004F3233"/>
    <w:rsid w:val="004F35C3"/>
    <w:rsid w:val="005041E8"/>
    <w:rsid w:val="00512005"/>
    <w:rsid w:val="005174B8"/>
    <w:rsid w:val="00534756"/>
    <w:rsid w:val="00540646"/>
    <w:rsid w:val="005425B9"/>
    <w:rsid w:val="00542EF5"/>
    <w:rsid w:val="00544F0A"/>
    <w:rsid w:val="00555E23"/>
    <w:rsid w:val="005612C5"/>
    <w:rsid w:val="00567E11"/>
    <w:rsid w:val="0057063B"/>
    <w:rsid w:val="005745B0"/>
    <w:rsid w:val="00574FC9"/>
    <w:rsid w:val="005847FD"/>
    <w:rsid w:val="00585B45"/>
    <w:rsid w:val="005A2DEC"/>
    <w:rsid w:val="005B1DCE"/>
    <w:rsid w:val="005B2AF4"/>
    <w:rsid w:val="005B31E9"/>
    <w:rsid w:val="005B3345"/>
    <w:rsid w:val="005C1127"/>
    <w:rsid w:val="005E36B9"/>
    <w:rsid w:val="005E4829"/>
    <w:rsid w:val="005E501A"/>
    <w:rsid w:val="005F3B1A"/>
    <w:rsid w:val="005F7C21"/>
    <w:rsid w:val="00601A29"/>
    <w:rsid w:val="0060289F"/>
    <w:rsid w:val="00603037"/>
    <w:rsid w:val="00603820"/>
    <w:rsid w:val="00605623"/>
    <w:rsid w:val="00605C23"/>
    <w:rsid w:val="00617405"/>
    <w:rsid w:val="00621CA3"/>
    <w:rsid w:val="006228BB"/>
    <w:rsid w:val="00623DF5"/>
    <w:rsid w:val="00625E88"/>
    <w:rsid w:val="00626677"/>
    <w:rsid w:val="00633AAB"/>
    <w:rsid w:val="006541A4"/>
    <w:rsid w:val="00661690"/>
    <w:rsid w:val="0067446A"/>
    <w:rsid w:val="00677FDD"/>
    <w:rsid w:val="00680C69"/>
    <w:rsid w:val="00685446"/>
    <w:rsid w:val="00694626"/>
    <w:rsid w:val="006A1B52"/>
    <w:rsid w:val="006A1E6F"/>
    <w:rsid w:val="006A3664"/>
    <w:rsid w:val="006B34B4"/>
    <w:rsid w:val="006B4D7A"/>
    <w:rsid w:val="006B7C5E"/>
    <w:rsid w:val="006C320F"/>
    <w:rsid w:val="006F006A"/>
    <w:rsid w:val="006F330C"/>
    <w:rsid w:val="006F342B"/>
    <w:rsid w:val="006F7ACD"/>
    <w:rsid w:val="00700F1A"/>
    <w:rsid w:val="00703EA8"/>
    <w:rsid w:val="0070412E"/>
    <w:rsid w:val="007163F5"/>
    <w:rsid w:val="00720430"/>
    <w:rsid w:val="00721ED1"/>
    <w:rsid w:val="0072269F"/>
    <w:rsid w:val="00723498"/>
    <w:rsid w:val="007254B4"/>
    <w:rsid w:val="00727139"/>
    <w:rsid w:val="0074371D"/>
    <w:rsid w:val="00747013"/>
    <w:rsid w:val="00752F81"/>
    <w:rsid w:val="00762A48"/>
    <w:rsid w:val="00776DC5"/>
    <w:rsid w:val="00777859"/>
    <w:rsid w:val="007846BD"/>
    <w:rsid w:val="00787199"/>
    <w:rsid w:val="0079517E"/>
    <w:rsid w:val="00795B7A"/>
    <w:rsid w:val="0079613D"/>
    <w:rsid w:val="007970DC"/>
    <w:rsid w:val="007A11F5"/>
    <w:rsid w:val="007A557D"/>
    <w:rsid w:val="007A660B"/>
    <w:rsid w:val="007A795E"/>
    <w:rsid w:val="007C062E"/>
    <w:rsid w:val="007C0F87"/>
    <w:rsid w:val="007C2697"/>
    <w:rsid w:val="007C2FE8"/>
    <w:rsid w:val="007C3324"/>
    <w:rsid w:val="007D21CC"/>
    <w:rsid w:val="007E2E6A"/>
    <w:rsid w:val="007E718E"/>
    <w:rsid w:val="007F080C"/>
    <w:rsid w:val="007F0DFB"/>
    <w:rsid w:val="007F4D11"/>
    <w:rsid w:val="007F5923"/>
    <w:rsid w:val="008008F5"/>
    <w:rsid w:val="00802528"/>
    <w:rsid w:val="008050A8"/>
    <w:rsid w:val="00805E4F"/>
    <w:rsid w:val="00815512"/>
    <w:rsid w:val="00832A2F"/>
    <w:rsid w:val="0084747F"/>
    <w:rsid w:val="008516DA"/>
    <w:rsid w:val="008533E3"/>
    <w:rsid w:val="00857FDD"/>
    <w:rsid w:val="008753C4"/>
    <w:rsid w:val="00877E55"/>
    <w:rsid w:val="00880208"/>
    <w:rsid w:val="00883904"/>
    <w:rsid w:val="00887678"/>
    <w:rsid w:val="00887CE6"/>
    <w:rsid w:val="00892160"/>
    <w:rsid w:val="008977DA"/>
    <w:rsid w:val="008A01D3"/>
    <w:rsid w:val="008A0BE2"/>
    <w:rsid w:val="008A7740"/>
    <w:rsid w:val="008B2222"/>
    <w:rsid w:val="008B2676"/>
    <w:rsid w:val="008B4DA1"/>
    <w:rsid w:val="008C29D3"/>
    <w:rsid w:val="008C6D53"/>
    <w:rsid w:val="008D22EA"/>
    <w:rsid w:val="008D35DD"/>
    <w:rsid w:val="008D70B0"/>
    <w:rsid w:val="008D76B1"/>
    <w:rsid w:val="008E6CB5"/>
    <w:rsid w:val="008F3A7F"/>
    <w:rsid w:val="008F5329"/>
    <w:rsid w:val="008F68DA"/>
    <w:rsid w:val="0092009C"/>
    <w:rsid w:val="009215B4"/>
    <w:rsid w:val="009259EC"/>
    <w:rsid w:val="00937CCA"/>
    <w:rsid w:val="00942B56"/>
    <w:rsid w:val="0095128E"/>
    <w:rsid w:val="00956C25"/>
    <w:rsid w:val="009614E1"/>
    <w:rsid w:val="009653C8"/>
    <w:rsid w:val="00965E2E"/>
    <w:rsid w:val="00967532"/>
    <w:rsid w:val="009675A2"/>
    <w:rsid w:val="009723D6"/>
    <w:rsid w:val="00975E3C"/>
    <w:rsid w:val="00976720"/>
    <w:rsid w:val="009807B6"/>
    <w:rsid w:val="009808A6"/>
    <w:rsid w:val="00983D9A"/>
    <w:rsid w:val="00991D62"/>
    <w:rsid w:val="00997988"/>
    <w:rsid w:val="00997A4B"/>
    <w:rsid w:val="009A2A09"/>
    <w:rsid w:val="009B3361"/>
    <w:rsid w:val="009B77A7"/>
    <w:rsid w:val="009D272A"/>
    <w:rsid w:val="009D4FB2"/>
    <w:rsid w:val="009E1420"/>
    <w:rsid w:val="009F5ED7"/>
    <w:rsid w:val="009F6CAC"/>
    <w:rsid w:val="00A11066"/>
    <w:rsid w:val="00A12EEA"/>
    <w:rsid w:val="00A1717C"/>
    <w:rsid w:val="00A20053"/>
    <w:rsid w:val="00A22888"/>
    <w:rsid w:val="00A22C1D"/>
    <w:rsid w:val="00A26DA6"/>
    <w:rsid w:val="00A30FBA"/>
    <w:rsid w:val="00A4035A"/>
    <w:rsid w:val="00A40488"/>
    <w:rsid w:val="00A439C1"/>
    <w:rsid w:val="00A510CF"/>
    <w:rsid w:val="00A53743"/>
    <w:rsid w:val="00A62399"/>
    <w:rsid w:val="00A71DB4"/>
    <w:rsid w:val="00A7278B"/>
    <w:rsid w:val="00A75EB4"/>
    <w:rsid w:val="00A82453"/>
    <w:rsid w:val="00A8746D"/>
    <w:rsid w:val="00A87784"/>
    <w:rsid w:val="00A90BBD"/>
    <w:rsid w:val="00AA0380"/>
    <w:rsid w:val="00AA39B1"/>
    <w:rsid w:val="00AB0F77"/>
    <w:rsid w:val="00AB607B"/>
    <w:rsid w:val="00AB6DEF"/>
    <w:rsid w:val="00AB6ED2"/>
    <w:rsid w:val="00AC4A85"/>
    <w:rsid w:val="00AD66ED"/>
    <w:rsid w:val="00AD73C0"/>
    <w:rsid w:val="00AE2EE1"/>
    <w:rsid w:val="00AE31A4"/>
    <w:rsid w:val="00AE3333"/>
    <w:rsid w:val="00AE4909"/>
    <w:rsid w:val="00AE608E"/>
    <w:rsid w:val="00AE7F17"/>
    <w:rsid w:val="00B07430"/>
    <w:rsid w:val="00B11DF1"/>
    <w:rsid w:val="00B135FE"/>
    <w:rsid w:val="00B15D1C"/>
    <w:rsid w:val="00B4237F"/>
    <w:rsid w:val="00B43BCF"/>
    <w:rsid w:val="00B51B61"/>
    <w:rsid w:val="00B5500F"/>
    <w:rsid w:val="00B5634F"/>
    <w:rsid w:val="00B67A6F"/>
    <w:rsid w:val="00B753EA"/>
    <w:rsid w:val="00B757E4"/>
    <w:rsid w:val="00B81354"/>
    <w:rsid w:val="00B86111"/>
    <w:rsid w:val="00B8719A"/>
    <w:rsid w:val="00B87D62"/>
    <w:rsid w:val="00B91D99"/>
    <w:rsid w:val="00B95227"/>
    <w:rsid w:val="00B9701C"/>
    <w:rsid w:val="00B97C3C"/>
    <w:rsid w:val="00B97EA1"/>
    <w:rsid w:val="00BA1572"/>
    <w:rsid w:val="00BA2B81"/>
    <w:rsid w:val="00BA644B"/>
    <w:rsid w:val="00BB2281"/>
    <w:rsid w:val="00BB49EC"/>
    <w:rsid w:val="00BB5AD9"/>
    <w:rsid w:val="00BC1E89"/>
    <w:rsid w:val="00BC43F2"/>
    <w:rsid w:val="00BC65EC"/>
    <w:rsid w:val="00BE0118"/>
    <w:rsid w:val="00BE12B7"/>
    <w:rsid w:val="00BE24A8"/>
    <w:rsid w:val="00BE3472"/>
    <w:rsid w:val="00BE378C"/>
    <w:rsid w:val="00BE6EAF"/>
    <w:rsid w:val="00BF34C4"/>
    <w:rsid w:val="00C02199"/>
    <w:rsid w:val="00C041C3"/>
    <w:rsid w:val="00C0728F"/>
    <w:rsid w:val="00C10DC5"/>
    <w:rsid w:val="00C133B5"/>
    <w:rsid w:val="00C22CE0"/>
    <w:rsid w:val="00C23014"/>
    <w:rsid w:val="00C25EFC"/>
    <w:rsid w:val="00C30F58"/>
    <w:rsid w:val="00C36CA6"/>
    <w:rsid w:val="00C40597"/>
    <w:rsid w:val="00C41001"/>
    <w:rsid w:val="00C468D1"/>
    <w:rsid w:val="00C52A77"/>
    <w:rsid w:val="00C52D2A"/>
    <w:rsid w:val="00C57FC6"/>
    <w:rsid w:val="00C627F9"/>
    <w:rsid w:val="00C64A5A"/>
    <w:rsid w:val="00C654A7"/>
    <w:rsid w:val="00C66FB0"/>
    <w:rsid w:val="00C738CB"/>
    <w:rsid w:val="00C75DB4"/>
    <w:rsid w:val="00C85BF8"/>
    <w:rsid w:val="00C8618B"/>
    <w:rsid w:val="00CA11D0"/>
    <w:rsid w:val="00CB62D2"/>
    <w:rsid w:val="00CC07E8"/>
    <w:rsid w:val="00CD6DA6"/>
    <w:rsid w:val="00CD7176"/>
    <w:rsid w:val="00CF2436"/>
    <w:rsid w:val="00CF5B90"/>
    <w:rsid w:val="00D0230A"/>
    <w:rsid w:val="00D041B5"/>
    <w:rsid w:val="00D06B28"/>
    <w:rsid w:val="00D2139E"/>
    <w:rsid w:val="00D219C8"/>
    <w:rsid w:val="00D2700D"/>
    <w:rsid w:val="00D275F5"/>
    <w:rsid w:val="00D3166F"/>
    <w:rsid w:val="00D31E49"/>
    <w:rsid w:val="00D34286"/>
    <w:rsid w:val="00D4176B"/>
    <w:rsid w:val="00D57CCB"/>
    <w:rsid w:val="00D65AA8"/>
    <w:rsid w:val="00D6613E"/>
    <w:rsid w:val="00D72F4E"/>
    <w:rsid w:val="00D80A1C"/>
    <w:rsid w:val="00D9155A"/>
    <w:rsid w:val="00D9469B"/>
    <w:rsid w:val="00D95015"/>
    <w:rsid w:val="00DA0240"/>
    <w:rsid w:val="00DA22C5"/>
    <w:rsid w:val="00DA344B"/>
    <w:rsid w:val="00DA42E9"/>
    <w:rsid w:val="00DA5717"/>
    <w:rsid w:val="00DB6234"/>
    <w:rsid w:val="00DF1C9D"/>
    <w:rsid w:val="00DF4253"/>
    <w:rsid w:val="00DF5B07"/>
    <w:rsid w:val="00DF7828"/>
    <w:rsid w:val="00E00324"/>
    <w:rsid w:val="00E064CB"/>
    <w:rsid w:val="00E1116A"/>
    <w:rsid w:val="00E145A8"/>
    <w:rsid w:val="00E21B64"/>
    <w:rsid w:val="00E21E1D"/>
    <w:rsid w:val="00E23AF2"/>
    <w:rsid w:val="00E2545D"/>
    <w:rsid w:val="00E30905"/>
    <w:rsid w:val="00E34E39"/>
    <w:rsid w:val="00E41029"/>
    <w:rsid w:val="00E4353E"/>
    <w:rsid w:val="00E44ADA"/>
    <w:rsid w:val="00E4597A"/>
    <w:rsid w:val="00E46909"/>
    <w:rsid w:val="00E518F1"/>
    <w:rsid w:val="00E5242E"/>
    <w:rsid w:val="00E55774"/>
    <w:rsid w:val="00E57D2B"/>
    <w:rsid w:val="00E62E9C"/>
    <w:rsid w:val="00E64EBC"/>
    <w:rsid w:val="00E66964"/>
    <w:rsid w:val="00E74BCC"/>
    <w:rsid w:val="00E76633"/>
    <w:rsid w:val="00E926FF"/>
    <w:rsid w:val="00EA08CE"/>
    <w:rsid w:val="00EA4CD3"/>
    <w:rsid w:val="00EB2BF1"/>
    <w:rsid w:val="00EB2FD8"/>
    <w:rsid w:val="00EB38BD"/>
    <w:rsid w:val="00EC0579"/>
    <w:rsid w:val="00EC4860"/>
    <w:rsid w:val="00EC670B"/>
    <w:rsid w:val="00ED560F"/>
    <w:rsid w:val="00EE0BA4"/>
    <w:rsid w:val="00EE3081"/>
    <w:rsid w:val="00EE4F3F"/>
    <w:rsid w:val="00EE5D72"/>
    <w:rsid w:val="00EF0E1B"/>
    <w:rsid w:val="00EF3CA4"/>
    <w:rsid w:val="00EF5FDF"/>
    <w:rsid w:val="00F0275D"/>
    <w:rsid w:val="00F0533B"/>
    <w:rsid w:val="00F103E6"/>
    <w:rsid w:val="00F117AF"/>
    <w:rsid w:val="00F121EA"/>
    <w:rsid w:val="00F15C2A"/>
    <w:rsid w:val="00F16DF8"/>
    <w:rsid w:val="00F1781A"/>
    <w:rsid w:val="00F260AF"/>
    <w:rsid w:val="00F32B7F"/>
    <w:rsid w:val="00F32F55"/>
    <w:rsid w:val="00F437C0"/>
    <w:rsid w:val="00F45FFD"/>
    <w:rsid w:val="00F512C1"/>
    <w:rsid w:val="00F535A0"/>
    <w:rsid w:val="00F56689"/>
    <w:rsid w:val="00F63A09"/>
    <w:rsid w:val="00F75138"/>
    <w:rsid w:val="00F81BFB"/>
    <w:rsid w:val="00F84D2C"/>
    <w:rsid w:val="00FA485F"/>
    <w:rsid w:val="00FA6CB6"/>
    <w:rsid w:val="00FB3671"/>
    <w:rsid w:val="00FD59BE"/>
    <w:rsid w:val="00FF18EF"/>
    <w:rsid w:val="00FF2E4A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84EA"/>
  <w15:chartTrackingRefBased/>
  <w15:docId w15:val="{D19882C0-390B-4AA4-9770-2131EECF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DE9"/>
  </w:style>
  <w:style w:type="paragraph" w:styleId="1">
    <w:name w:val="heading 1"/>
    <w:basedOn w:val="a"/>
    <w:next w:val="a"/>
    <w:link w:val="10"/>
    <w:uiPriority w:val="9"/>
    <w:qFormat/>
    <w:rsid w:val="00471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441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50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A450F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3A450F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unhideWhenUsed/>
    <w:rsid w:val="003A450F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4237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4237F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semiHidden/>
    <w:unhideWhenUsed/>
    <w:rsid w:val="00B4237F"/>
    <w:rPr>
      <w:vertAlign w:val="superscript"/>
    </w:rPr>
  </w:style>
  <w:style w:type="character" w:customStyle="1" w:styleId="s0">
    <w:name w:val="s0"/>
    <w:basedOn w:val="a0"/>
    <w:qFormat/>
    <w:rsid w:val="009A2A0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">
    <w:name w:val="pj"/>
    <w:basedOn w:val="a"/>
    <w:rsid w:val="00C8618B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3">
    <w:name w:val="s3"/>
    <w:basedOn w:val="a0"/>
    <w:rsid w:val="00C8618B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customStyle="1" w:styleId="pji">
    <w:name w:val="pji"/>
    <w:basedOn w:val="a"/>
    <w:rsid w:val="00D95015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883904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customStyle="1" w:styleId="pr">
    <w:name w:val="pr"/>
    <w:basedOn w:val="a"/>
    <w:rsid w:val="001E6202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6A3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A3664"/>
  </w:style>
  <w:style w:type="paragraph" w:styleId="ab">
    <w:name w:val="footer"/>
    <w:basedOn w:val="a"/>
    <w:link w:val="ac"/>
    <w:uiPriority w:val="99"/>
    <w:unhideWhenUsed/>
    <w:rsid w:val="006A3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3664"/>
  </w:style>
  <w:style w:type="paragraph" w:styleId="ad">
    <w:name w:val="List Paragraph"/>
    <w:basedOn w:val="a"/>
    <w:uiPriority w:val="34"/>
    <w:qFormat/>
    <w:rsid w:val="006A3664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7C2FE8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A11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106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4417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71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nline.zakon.kz/Document/?doc_id=339874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32</Pages>
  <Words>14087</Words>
  <Characters>80299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Тогжан Нурмагамбетовна Тажиева</dc:creator>
  <cp:keywords/>
  <dc:description/>
  <cp:lastModifiedBy>Арай Нышанали</cp:lastModifiedBy>
  <cp:revision>294</cp:revision>
  <cp:lastPrinted>2025-12-23T07:25:00Z</cp:lastPrinted>
  <dcterms:created xsi:type="dcterms:W3CDTF">2025-06-05T05:14:00Z</dcterms:created>
  <dcterms:modified xsi:type="dcterms:W3CDTF">2025-12-24T04:04:00Z</dcterms:modified>
</cp:coreProperties>
</file>